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527B" w14:textId="77777777" w:rsidR="00C40084" w:rsidRDefault="00C40084" w:rsidP="00895747">
      <w:pPr>
        <w:pStyle w:val="Podtytu"/>
      </w:pPr>
    </w:p>
    <w:p w14:paraId="434724CA" w14:textId="489D5090" w:rsidR="00895747" w:rsidRPr="002904F0" w:rsidRDefault="00895747" w:rsidP="002904F0">
      <w:pPr>
        <w:pStyle w:val="Podtytu"/>
        <w:jc w:val="center"/>
        <w:rPr>
          <w:b/>
        </w:rPr>
      </w:pPr>
      <w:r w:rsidRPr="002904F0">
        <w:rPr>
          <w:b/>
        </w:rPr>
        <w:t>P</w:t>
      </w:r>
      <w:r w:rsidR="002904F0">
        <w:rPr>
          <w:b/>
        </w:rPr>
        <w:t xml:space="preserve">ROGRAM FUNKCJONALNO-UŻYTKOWY </w:t>
      </w:r>
      <w:r w:rsidRPr="002904F0">
        <w:rPr>
          <w:b/>
        </w:rPr>
        <w:t>(PFU)</w:t>
      </w:r>
    </w:p>
    <w:p w14:paraId="11EEC43B" w14:textId="77777777" w:rsidR="00895747" w:rsidRPr="00895747" w:rsidRDefault="00895747" w:rsidP="00D61C22">
      <w:pPr>
        <w:pStyle w:val="Nagwek1"/>
      </w:pPr>
      <w:bookmarkStart w:id="0" w:name="_Toc222390085"/>
      <w:r w:rsidRPr="00895747">
        <w:t>Opis ogólny przedmiotu zamówienia</w:t>
      </w:r>
      <w:bookmarkEnd w:id="0"/>
    </w:p>
    <w:p w14:paraId="7CC710FC" w14:textId="085302B1" w:rsidR="005A5169" w:rsidRDefault="00554ABC" w:rsidP="00D61C22">
      <w:pPr>
        <w:pStyle w:val="Nagwek2"/>
      </w:pPr>
      <w:bookmarkStart w:id="1" w:name="_Toc222390086"/>
      <w:r>
        <w:t>Przedmiot zamówienia</w:t>
      </w:r>
    </w:p>
    <w:p w14:paraId="24448BB8" w14:textId="4D4029F7" w:rsidR="00554ABC" w:rsidRDefault="00554ABC" w:rsidP="00554ABC">
      <w:r w:rsidRPr="00554ABC">
        <w:t>Przedmiotem zamówienia jest realizacja zadania inwestycyjnego pn.: „Budowa punktów ładowania pojazdów elektrycznych i punktów do zasilania statków powietrznych energią z sieci (400Hz) wraz z infrastrukturą towarzyszącą” w formule „Projektuj i Buduj”, obejmująca wykonanie dokumentacji projektowej na podstawie Koncepcji oraz pozostałych dokumentów przetargowych oraz realizację robót budowlanych zgodnie z opracowanym projektem.</w:t>
      </w:r>
    </w:p>
    <w:p w14:paraId="605FD5EA" w14:textId="77777777" w:rsidR="00554ABC" w:rsidRDefault="00554ABC" w:rsidP="00554ABC">
      <w:r w:rsidRPr="00895747">
        <w:t xml:space="preserve">Podstawią opracowania projektu dla zadania jest koncepcja techniczna: „Rozbudowa infrastruktury energetycznej w celu przygotowania punktów ładowania pojazdów elektrycznych na lotnisku Katowice Airport” przygotowane przez </w:t>
      </w:r>
      <w:proofErr w:type="spellStart"/>
      <w:r w:rsidRPr="00895747">
        <w:t>Investeko</w:t>
      </w:r>
      <w:proofErr w:type="spellEnd"/>
      <w:r w:rsidRPr="00895747">
        <w:t xml:space="preserve"> S.A. w lipcu 2025r. Wskazana koncepcja obejmuje całość zakładanej rozbudowy infrastruktury z czego w ramach postępowania „Budowa punktów ładowania pojazdów elektrycznych i punktów do zasilania statków powietrznych energią z sieci (400Hz) wraz z</w:t>
      </w:r>
      <w:r>
        <w:t> </w:t>
      </w:r>
      <w:r w:rsidRPr="00895747">
        <w:t>infrastrukturą towarzyszącą” realizowane będą wybrane elementy wskazane w programie funkcjonalno-użytkowym. Wskazany dokument jest opracowaniem koncepcyjnym a uszczegółowienie zawartych w koncepcji informacji zawarte zostało w PFU oraz w załącznikach do postępowania.</w:t>
      </w:r>
    </w:p>
    <w:p w14:paraId="0FEAC967" w14:textId="1F9A47F4" w:rsidR="00895747" w:rsidRPr="00D61C22" w:rsidRDefault="00895747" w:rsidP="00D61C22">
      <w:pPr>
        <w:pStyle w:val="Nagwek2"/>
      </w:pPr>
      <w:r w:rsidRPr="00D61C22">
        <w:t>Lokalizacja inwestycji</w:t>
      </w:r>
      <w:bookmarkEnd w:id="1"/>
    </w:p>
    <w:p w14:paraId="3D3D3036" w14:textId="1CF9FACF" w:rsidR="00895747" w:rsidRPr="00B6045A" w:rsidRDefault="00895747" w:rsidP="00CD0857">
      <w:pPr>
        <w:pStyle w:val="N-p2"/>
        <w:ind w:left="0"/>
      </w:pPr>
      <w:r w:rsidRPr="00895747">
        <w:t xml:space="preserve">Elementy infrastruktury wskazane do realizacji zlokalizowane będą na terenie Międzynarodowego Portu </w:t>
      </w:r>
      <w:r w:rsidRPr="00B6045A">
        <w:t>Lotniczego “Katowice” w Pyrzowicach, w obszarze będącym częścią zastrzeżoną lotniska (</w:t>
      </w:r>
      <w:proofErr w:type="spellStart"/>
      <w:r w:rsidRPr="00B6045A">
        <w:t>airside</w:t>
      </w:r>
      <w:proofErr w:type="spellEnd"/>
      <w:r w:rsidRPr="00B6045A">
        <w:t>) i umiejscowione na wskazanych placach i terenach obejmujących lokalizacje</w:t>
      </w:r>
      <w:r w:rsidR="006574C6" w:rsidRPr="00B6045A">
        <w:t xml:space="preserve"> wskazane na rysunku w załączniku </w:t>
      </w:r>
      <w:r w:rsidR="00FE536F" w:rsidRPr="00B6045A">
        <w:t>PFU Lokalizacja</w:t>
      </w:r>
      <w:r w:rsidRPr="00B6045A">
        <w:t>:</w:t>
      </w:r>
    </w:p>
    <w:p w14:paraId="6F6F5F81" w14:textId="759D2323" w:rsidR="00895747" w:rsidRPr="00B6045A" w:rsidRDefault="00895747" w:rsidP="008A75EC">
      <w:pPr>
        <w:pStyle w:val="P-p2"/>
      </w:pPr>
      <w:r w:rsidRPr="00B6045A">
        <w:t xml:space="preserve">plac </w:t>
      </w:r>
      <w:proofErr w:type="spellStart"/>
      <w:r w:rsidRPr="00B6045A">
        <w:t>handlingowy</w:t>
      </w:r>
      <w:proofErr w:type="spellEnd"/>
      <w:r w:rsidRPr="00B6045A">
        <w:t xml:space="preserve"> przy terminalu C, zlokalizowany w kierunku zachodnim od istniejącego obiektu kubaturowego terminala C (zwany dalej lokalizacja 1)</w:t>
      </w:r>
    </w:p>
    <w:p w14:paraId="1EAFDA8A" w14:textId="783BEF98" w:rsidR="00895747" w:rsidRPr="00B6045A" w:rsidRDefault="00895747" w:rsidP="008A75EC">
      <w:pPr>
        <w:pStyle w:val="P-p2"/>
      </w:pPr>
      <w:r w:rsidRPr="00B6045A">
        <w:t xml:space="preserve">plac </w:t>
      </w:r>
      <w:proofErr w:type="spellStart"/>
      <w:r w:rsidRPr="00B6045A">
        <w:t>handlingowy</w:t>
      </w:r>
      <w:proofErr w:type="spellEnd"/>
      <w:r w:rsidRPr="00B6045A">
        <w:t xml:space="preserve"> zlokalizowany w </w:t>
      </w:r>
      <w:r w:rsidR="003D3221" w:rsidRPr="00B6045A">
        <w:t xml:space="preserve">pobliżu strefy </w:t>
      </w:r>
      <w:r w:rsidR="005D37D0" w:rsidRPr="00B6045A">
        <w:t>obsługi technicznej AON1 oraz AON2</w:t>
      </w:r>
      <w:r w:rsidRPr="00B6045A">
        <w:t xml:space="preserve"> (lokalizacja 2)</w:t>
      </w:r>
    </w:p>
    <w:p w14:paraId="5B5FB194" w14:textId="735AC928" w:rsidR="00895747" w:rsidRPr="00B6045A" w:rsidRDefault="00895747" w:rsidP="008A75EC">
      <w:pPr>
        <w:pStyle w:val="P-p2"/>
      </w:pPr>
      <w:r w:rsidRPr="00B6045A">
        <w:t xml:space="preserve">plac </w:t>
      </w:r>
      <w:proofErr w:type="spellStart"/>
      <w:r w:rsidRPr="00B6045A">
        <w:t>handlingowy</w:t>
      </w:r>
      <w:proofErr w:type="spellEnd"/>
      <w:r w:rsidRPr="00B6045A">
        <w:t xml:space="preserve"> zlokalizowany w kierunku południowo-wschodnim od obiektu hangaru obsługi technicznej samolotów H4 (lokalizacja 3)</w:t>
      </w:r>
    </w:p>
    <w:p w14:paraId="4ED3E734" w14:textId="77777777" w:rsidR="00D61C22" w:rsidRDefault="00D61C22" w:rsidP="00D61C22">
      <w:pPr>
        <w:pStyle w:val="Nagwek1"/>
        <w:rPr>
          <w:rStyle w:val="Uwydatnienie"/>
          <w:i w:val="0"/>
          <w:iCs w:val="0"/>
        </w:rPr>
      </w:pPr>
      <w:bookmarkStart w:id="2" w:name="_Hlk222820451"/>
      <w:bookmarkStart w:id="3" w:name="_Toc222390088"/>
      <w:bookmarkEnd w:id="2"/>
      <w:r>
        <w:rPr>
          <w:rStyle w:val="Uwydatnienie"/>
          <w:i w:val="0"/>
          <w:iCs w:val="0"/>
        </w:rPr>
        <w:t>System zasilania</w:t>
      </w:r>
      <w:bookmarkEnd w:id="3"/>
    </w:p>
    <w:p w14:paraId="32599859" w14:textId="77777777" w:rsidR="00895747" w:rsidRDefault="00895747" w:rsidP="00D61C22">
      <w:pPr>
        <w:pStyle w:val="N-p1"/>
        <w:rPr>
          <w:rStyle w:val="Uwydatnienie"/>
          <w:i w:val="0"/>
          <w:iCs w:val="0"/>
        </w:rPr>
      </w:pPr>
      <w:r w:rsidRPr="00895747">
        <w:rPr>
          <w:rStyle w:val="Uwydatnienie"/>
          <w:i w:val="0"/>
          <w:iCs w:val="0"/>
        </w:rPr>
        <w:t>Rozbudowa infrastruktury energetycznej konieczna dla budowy punktów ładowania określona została w koncepcji oraz w zakresie prowadzonego postępowania obejmuje:</w:t>
      </w:r>
    </w:p>
    <w:p w14:paraId="32365BBC" w14:textId="77777777" w:rsidR="00D61C22" w:rsidRPr="00D61C22" w:rsidRDefault="00D61C22" w:rsidP="00534F86">
      <w:pPr>
        <w:pStyle w:val="P-p1"/>
        <w:numPr>
          <w:ilvl w:val="0"/>
          <w:numId w:val="15"/>
        </w:numPr>
        <w:rPr>
          <w:rStyle w:val="Uwydatnienie"/>
          <w:i w:val="0"/>
          <w:iCs w:val="0"/>
        </w:rPr>
      </w:pPr>
      <w:r w:rsidRPr="00D61C22">
        <w:rPr>
          <w:rStyle w:val="Uwydatnienie"/>
          <w:i w:val="0"/>
          <w:iCs w:val="0"/>
        </w:rPr>
        <w:t>budowę 2 linii kablowych 20kV z istniejącej stacji RSO Pomiar do projektowanej stacji RSO Zaplecze</w:t>
      </w:r>
    </w:p>
    <w:p w14:paraId="6A6A071F" w14:textId="58F612E8" w:rsidR="00D61C22" w:rsidRDefault="00D61C22" w:rsidP="00534F86">
      <w:pPr>
        <w:pStyle w:val="P-p1"/>
        <w:numPr>
          <w:ilvl w:val="0"/>
          <w:numId w:val="15"/>
        </w:numPr>
        <w:rPr>
          <w:rStyle w:val="Uwydatnienie"/>
          <w:i w:val="0"/>
          <w:iCs w:val="0"/>
        </w:rPr>
      </w:pPr>
      <w:r w:rsidRPr="00D61C22">
        <w:rPr>
          <w:rStyle w:val="Uwydatnienie"/>
          <w:i w:val="0"/>
          <w:iCs w:val="0"/>
        </w:rPr>
        <w:t>budowę / dostarczenie stacji RSO Zaplecze zgodnie z wytycznymi wskazanymi w dalszej części PFU</w:t>
      </w:r>
    </w:p>
    <w:p w14:paraId="73404052" w14:textId="79F88C80" w:rsidR="00A85516" w:rsidRPr="00D61C22" w:rsidRDefault="00A85516" w:rsidP="00534F86">
      <w:pPr>
        <w:pStyle w:val="P-p1"/>
        <w:numPr>
          <w:ilvl w:val="0"/>
          <w:numId w:val="15"/>
        </w:numPr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zmianę wewnętrznego układu sieci SN – przełączenie zasilania stacji ST-4, ST-7, ST-5 do nowo wybudowanej</w:t>
      </w:r>
      <w:r w:rsidR="00865802">
        <w:rPr>
          <w:rStyle w:val="Uwydatnienie"/>
          <w:i w:val="0"/>
          <w:iCs w:val="0"/>
        </w:rPr>
        <w:t xml:space="preserve"> stacji RSO Zaplecze</w:t>
      </w:r>
    </w:p>
    <w:p w14:paraId="00A02993" w14:textId="77777777" w:rsidR="00D61C22" w:rsidRPr="00D61C22" w:rsidRDefault="00D61C22" w:rsidP="00534F86">
      <w:pPr>
        <w:pStyle w:val="P-p1"/>
        <w:numPr>
          <w:ilvl w:val="0"/>
          <w:numId w:val="15"/>
        </w:numPr>
        <w:rPr>
          <w:rStyle w:val="Uwydatnienie"/>
          <w:i w:val="0"/>
          <w:iCs w:val="0"/>
        </w:rPr>
      </w:pPr>
      <w:r w:rsidRPr="00D61C22">
        <w:rPr>
          <w:rStyle w:val="Uwydatnienie"/>
          <w:i w:val="0"/>
          <w:iCs w:val="0"/>
        </w:rPr>
        <w:t>budowę linii kablowej 20kV z istniejącej stacji RSO Port do projektowanej stacji RSO Zachód</w:t>
      </w:r>
    </w:p>
    <w:p w14:paraId="1B67A2CE" w14:textId="77D8A244" w:rsidR="00D61C22" w:rsidRPr="00D61C22" w:rsidRDefault="00D61C22" w:rsidP="00534F86">
      <w:pPr>
        <w:pStyle w:val="P-p1"/>
        <w:numPr>
          <w:ilvl w:val="0"/>
          <w:numId w:val="15"/>
        </w:numPr>
        <w:rPr>
          <w:rStyle w:val="Uwydatnienie"/>
          <w:i w:val="0"/>
          <w:iCs w:val="0"/>
        </w:rPr>
      </w:pPr>
      <w:r w:rsidRPr="00D61C22">
        <w:rPr>
          <w:rStyle w:val="Uwydatnienie"/>
          <w:i w:val="0"/>
          <w:iCs w:val="0"/>
        </w:rPr>
        <w:lastRenderedPageBreak/>
        <w:t>budowę / dostarczenie stacji RSO Zachód zgodnie z wytycznymi wskazanymi w dalszej części PFU</w:t>
      </w:r>
      <w:r w:rsidR="00E4284D">
        <w:rPr>
          <w:rStyle w:val="Uwydatnienie"/>
          <w:i w:val="0"/>
          <w:iCs w:val="0"/>
        </w:rPr>
        <w:t xml:space="preserve"> / Koncepcji będącej załącznikiem do postępowania</w:t>
      </w:r>
    </w:p>
    <w:p w14:paraId="71DD675D" w14:textId="5EE34CCB" w:rsidR="00D61C22" w:rsidRPr="00D61C22" w:rsidRDefault="00D61C22" w:rsidP="00534F86">
      <w:pPr>
        <w:pStyle w:val="P-p1"/>
        <w:numPr>
          <w:ilvl w:val="0"/>
          <w:numId w:val="15"/>
        </w:numPr>
        <w:rPr>
          <w:rStyle w:val="Uwydatnienie"/>
          <w:i w:val="0"/>
          <w:iCs w:val="0"/>
        </w:rPr>
      </w:pPr>
      <w:r w:rsidRPr="00D61C22">
        <w:rPr>
          <w:rStyle w:val="Uwydatnienie"/>
          <w:i w:val="0"/>
          <w:iCs w:val="0"/>
        </w:rPr>
        <w:t>wykorzystanie istniej</w:t>
      </w:r>
      <w:r w:rsidR="00D40CED">
        <w:rPr>
          <w:rStyle w:val="Uwydatnienie"/>
          <w:i w:val="0"/>
          <w:iCs w:val="0"/>
        </w:rPr>
        <w:t>ą</w:t>
      </w:r>
      <w:r w:rsidRPr="00D61C22">
        <w:rPr>
          <w:rStyle w:val="Uwydatnienie"/>
          <w:i w:val="0"/>
          <w:iCs w:val="0"/>
        </w:rPr>
        <w:t>cej linii kablowej relacji RSO Port - ST11 do zasilenia drugiej sekcji stacji RSO Zachód</w:t>
      </w:r>
    </w:p>
    <w:p w14:paraId="55D35EC5" w14:textId="77777777" w:rsidR="00D61C22" w:rsidRPr="00D61C22" w:rsidRDefault="00D61C22" w:rsidP="00534F86">
      <w:pPr>
        <w:pStyle w:val="P-p1"/>
        <w:numPr>
          <w:ilvl w:val="0"/>
          <w:numId w:val="15"/>
        </w:numPr>
        <w:rPr>
          <w:rStyle w:val="Uwydatnienie"/>
          <w:i w:val="0"/>
          <w:iCs w:val="0"/>
        </w:rPr>
      </w:pPr>
      <w:r w:rsidRPr="00D61C22">
        <w:rPr>
          <w:rStyle w:val="Uwydatnienie"/>
          <w:i w:val="0"/>
          <w:iCs w:val="0"/>
        </w:rPr>
        <w:t>zasilenie stacji ST-11 z uruchomionej stacji RSO Zachód</w:t>
      </w:r>
    </w:p>
    <w:p w14:paraId="28E79717" w14:textId="77777777" w:rsidR="00D61C22" w:rsidRDefault="00D61C22" w:rsidP="00534F86">
      <w:pPr>
        <w:pStyle w:val="P-p1"/>
        <w:numPr>
          <w:ilvl w:val="0"/>
          <w:numId w:val="15"/>
        </w:numPr>
        <w:rPr>
          <w:rStyle w:val="Uwydatnienie"/>
          <w:i w:val="0"/>
          <w:iCs w:val="0"/>
        </w:rPr>
      </w:pPr>
      <w:r w:rsidRPr="00D61C22">
        <w:rPr>
          <w:rStyle w:val="Uwydatnienie"/>
          <w:i w:val="0"/>
          <w:iCs w:val="0"/>
        </w:rPr>
        <w:t>budowę stacji transformatorowych 20/0,4kV o mocach dostosowanych do planowanych odbiorów</w:t>
      </w:r>
    </w:p>
    <w:p w14:paraId="579C19EE" w14:textId="77777777" w:rsidR="00D61C22" w:rsidRPr="00D61C22" w:rsidRDefault="00D61C22" w:rsidP="00D61C22">
      <w:pPr>
        <w:pStyle w:val="Akapitzlist"/>
        <w:keepNext/>
        <w:keepLines/>
        <w:numPr>
          <w:ilvl w:val="0"/>
          <w:numId w:val="7"/>
        </w:numPr>
        <w:spacing w:before="80" w:after="0"/>
        <w:contextualSpacing w:val="0"/>
        <w:outlineLvl w:val="1"/>
        <w:rPr>
          <w:rStyle w:val="Uwydatnienie"/>
          <w:rFonts w:asciiTheme="majorHAnsi" w:eastAsiaTheme="majorEastAsia" w:hAnsiTheme="majorHAnsi" w:cstheme="majorBidi"/>
          <w:i w:val="0"/>
          <w:iCs w:val="0"/>
          <w:vanish/>
          <w:color w:val="2F5496" w:themeColor="accent1" w:themeShade="BF"/>
          <w:sz w:val="26"/>
          <w:szCs w:val="26"/>
        </w:rPr>
      </w:pPr>
      <w:bookmarkStart w:id="4" w:name="_Toc222390089"/>
      <w:bookmarkEnd w:id="4"/>
    </w:p>
    <w:p w14:paraId="1A9BB1BB" w14:textId="77777777" w:rsidR="00D61C22" w:rsidRDefault="00D61C22" w:rsidP="00D61C22">
      <w:pPr>
        <w:pStyle w:val="Nagwek2"/>
        <w:rPr>
          <w:rStyle w:val="Uwydatnienie"/>
          <w:i w:val="0"/>
          <w:iCs w:val="0"/>
        </w:rPr>
      </w:pPr>
      <w:bookmarkStart w:id="5" w:name="_Toc222390090"/>
      <w:r>
        <w:rPr>
          <w:rStyle w:val="Uwydatnienie"/>
          <w:i w:val="0"/>
          <w:iCs w:val="0"/>
        </w:rPr>
        <w:t>Stacje RSO</w:t>
      </w:r>
      <w:bookmarkEnd w:id="5"/>
    </w:p>
    <w:p w14:paraId="1789726E" w14:textId="627DA016" w:rsidR="00836CD2" w:rsidRDefault="00D61C22" w:rsidP="00534F86">
      <w:pPr>
        <w:pStyle w:val="N-p2"/>
        <w:ind w:left="0"/>
      </w:pPr>
      <w:r>
        <w:t>Postępowanie zakłada budowę dwóch</w:t>
      </w:r>
      <w:r w:rsidR="00DF2DFC">
        <w:t xml:space="preserve"> dwusekcyjnych</w:t>
      </w:r>
      <w:r>
        <w:t xml:space="preserve"> stacji rozdzielczych średniego napięcia – 20kV (RSO Zaplecze, RSO Zachód)</w:t>
      </w:r>
      <w:r w:rsidR="00D72695">
        <w:t xml:space="preserve"> wyposażonych</w:t>
      </w:r>
      <w:r w:rsidR="000B5215">
        <w:t xml:space="preserve"> zgodnie z koncepcją</w:t>
      </w:r>
      <w:r w:rsidR="005665C0">
        <w:t>, uzupełnionych o</w:t>
      </w:r>
      <w:r w:rsidR="00D72695">
        <w:t>:</w:t>
      </w:r>
    </w:p>
    <w:p w14:paraId="09CBE065" w14:textId="79B54236" w:rsidR="00156266" w:rsidRDefault="00156266" w:rsidP="00534F86">
      <w:pPr>
        <w:pStyle w:val="P-p2"/>
        <w:ind w:left="709" w:hanging="283"/>
      </w:pPr>
      <w:r>
        <w:t>system sterowników polowych</w:t>
      </w:r>
      <w:r w:rsidR="004F2859">
        <w:t xml:space="preserve"> z funkcjami zabezpieczeń</w:t>
      </w:r>
    </w:p>
    <w:p w14:paraId="423958A8" w14:textId="5E4048B2" w:rsidR="00D72695" w:rsidRDefault="00A914AA" w:rsidP="00534F86">
      <w:pPr>
        <w:pStyle w:val="P-p2"/>
        <w:ind w:left="709" w:hanging="283"/>
      </w:pPr>
      <w:r>
        <w:t>system telemechaniki umożliwiających sterowanie położeniem wyłączników</w:t>
      </w:r>
      <w:r w:rsidR="000F0C58">
        <w:t xml:space="preserve">, </w:t>
      </w:r>
      <w:r w:rsidR="005665C0">
        <w:t xml:space="preserve">odzwierciedlający w układzie monitoringu stan położenia wyłącznika (załączony/wyłączony, wtoczony/wytoczony), stan położenia uziemnika, </w:t>
      </w:r>
      <w:r w:rsidR="00E52A9B">
        <w:t>wartości napięć fazowych</w:t>
      </w:r>
      <w:r w:rsidR="00AF62F9">
        <w:t xml:space="preserve">, wartości prądu </w:t>
      </w:r>
      <w:r w:rsidR="00E52A9B">
        <w:t xml:space="preserve">dla każdej fazy </w:t>
      </w:r>
      <w:r w:rsidR="00AF62F9">
        <w:t>w każdym z pól rozdzielni,</w:t>
      </w:r>
      <w:r w:rsidR="00E52A9B">
        <w:t xml:space="preserve"> </w:t>
      </w:r>
      <w:r w:rsidR="00D40CED">
        <w:t xml:space="preserve">kompatybilny ze stosowanym obecnie systemem, </w:t>
      </w:r>
      <w:r w:rsidR="00A61FBB">
        <w:t>uruchomiony poprzez rozbudowę istniejącego systemu sterowania</w:t>
      </w:r>
      <w:r w:rsidR="00156266">
        <w:t xml:space="preserve"> (dostarczony przez </w:t>
      </w:r>
      <w:r w:rsidR="00DF5591">
        <w:t xml:space="preserve">ABB – aktualnie </w:t>
      </w:r>
      <w:r w:rsidR="00156266">
        <w:t>Hitachi Energy)</w:t>
      </w:r>
    </w:p>
    <w:p w14:paraId="01958019" w14:textId="258E66AC" w:rsidR="00A61FBB" w:rsidRDefault="00A61FBB" w:rsidP="00534F86">
      <w:pPr>
        <w:pStyle w:val="P-p2"/>
        <w:ind w:left="709" w:hanging="283"/>
      </w:pPr>
      <w:r>
        <w:t>system przeciwwłamaniowy uzupełniony o system wykrywania dymu</w:t>
      </w:r>
    </w:p>
    <w:p w14:paraId="6305AC60" w14:textId="4B876909" w:rsidR="00A44BD7" w:rsidRDefault="00A44BD7" w:rsidP="00534F86">
      <w:pPr>
        <w:pStyle w:val="P-p2"/>
        <w:ind w:left="709" w:hanging="283"/>
      </w:pPr>
      <w:r>
        <w:t>układy klimatyzacji i ogrzewania obiektów</w:t>
      </w:r>
      <w:r w:rsidR="00B42609">
        <w:t xml:space="preserve"> z monitoringiem poziomu wilgotności powietrza</w:t>
      </w:r>
    </w:p>
    <w:p w14:paraId="43B60A0F" w14:textId="64E56BBA" w:rsidR="005653B1" w:rsidRPr="00D61C22" w:rsidRDefault="005653B1" w:rsidP="00534F86">
      <w:pPr>
        <w:pStyle w:val="P-p2"/>
        <w:ind w:left="709" w:hanging="283"/>
      </w:pPr>
      <w:r>
        <w:t>transformatory potrzeb własnych, wraz z rozdzielnicą wyposażoną w UPS oraz system samoczynnego załączania rezerwy</w:t>
      </w:r>
      <w:r w:rsidR="00A44BD7">
        <w:t xml:space="preserve"> dla potrzeb własnych stacji</w:t>
      </w:r>
      <w:r w:rsidR="00534F86">
        <w:t>.</w:t>
      </w:r>
    </w:p>
    <w:p w14:paraId="14A08435" w14:textId="74E7E1D5" w:rsidR="00895747" w:rsidRDefault="00B01D17" w:rsidP="00C26E5B">
      <w:pPr>
        <w:pStyle w:val="Nagwek2"/>
        <w:rPr>
          <w:rStyle w:val="Uwydatnienie"/>
          <w:i w:val="0"/>
          <w:iCs w:val="0"/>
        </w:rPr>
      </w:pPr>
      <w:bookmarkStart w:id="6" w:name="_Toc222390091"/>
      <w:r>
        <w:rPr>
          <w:rStyle w:val="Uwydatnienie"/>
          <w:i w:val="0"/>
          <w:iCs w:val="0"/>
        </w:rPr>
        <w:t>Stacje transformatorowe</w:t>
      </w:r>
      <w:bookmarkEnd w:id="6"/>
    </w:p>
    <w:p w14:paraId="7ECF9373" w14:textId="5EDD06D7" w:rsidR="00B01D17" w:rsidRDefault="008A6C19" w:rsidP="00534F86">
      <w:pPr>
        <w:pStyle w:val="N-p2"/>
        <w:ind w:left="0"/>
      </w:pPr>
      <w:r>
        <w:t xml:space="preserve">Postępowanie zakłada budowę </w:t>
      </w:r>
      <w:r w:rsidR="009B6718">
        <w:t>3 stacji transformatorowych o mocy dostosowanej do planowanych odbiorów wraz z rezerwą pod przyszłą rozbudowę systemu</w:t>
      </w:r>
      <w:r w:rsidR="005813EE">
        <w:t xml:space="preserve"> z uwagi na konieczność dostosowania </w:t>
      </w:r>
      <w:r w:rsidR="004739E7">
        <w:t xml:space="preserve">infrastruktury energetycznej lotniska </w:t>
      </w:r>
      <w:r w:rsidR="005813EE">
        <w:t xml:space="preserve">do zasilania samolotów </w:t>
      </w:r>
      <w:r w:rsidR="004739E7">
        <w:t xml:space="preserve">w trakcie postoju energią </w:t>
      </w:r>
      <w:r w:rsidR="005813EE">
        <w:t xml:space="preserve">z sieci </w:t>
      </w:r>
      <w:r w:rsidR="004739E7">
        <w:t xml:space="preserve">dla </w:t>
      </w:r>
      <w:r w:rsidR="005813EE">
        <w:t xml:space="preserve">wszystkich stanowisk </w:t>
      </w:r>
      <w:r w:rsidR="004739E7">
        <w:t xml:space="preserve">postojowych </w:t>
      </w:r>
      <w:r w:rsidR="005813EE">
        <w:t>do końca roku 2030</w:t>
      </w:r>
      <w:r w:rsidR="003F74C1">
        <w:t xml:space="preserve"> zgodnie z proponowanymi w koncepcji zapisami i proponowanymi schematami stacji.</w:t>
      </w:r>
    </w:p>
    <w:p w14:paraId="0B046B40" w14:textId="72500E6B" w:rsidR="005813EE" w:rsidRPr="007F4CF8" w:rsidRDefault="005813EE" w:rsidP="00534F86">
      <w:pPr>
        <w:pStyle w:val="N-p2"/>
        <w:ind w:left="0"/>
      </w:pPr>
      <w:r>
        <w:t xml:space="preserve">Stacje </w:t>
      </w:r>
      <w:r w:rsidRPr="007F4CF8">
        <w:t xml:space="preserve">transformatorowe powinny zostać zlokalizowane w pobliżu planowanych placów </w:t>
      </w:r>
      <w:proofErr w:type="spellStart"/>
      <w:r w:rsidRPr="007F4CF8">
        <w:t>handlingowych</w:t>
      </w:r>
      <w:proofErr w:type="spellEnd"/>
      <w:r w:rsidRPr="007F4CF8">
        <w:t xml:space="preserve"> </w:t>
      </w:r>
      <w:r w:rsidR="009A781D" w:rsidRPr="007F4CF8">
        <w:t>oraz planowanych przetwornic 400Hz dla samolotów</w:t>
      </w:r>
      <w:r w:rsidR="004739E7" w:rsidRPr="007F4CF8">
        <w:t xml:space="preserve"> na płytach postojowych</w:t>
      </w:r>
      <w:r w:rsidR="009A781D" w:rsidRPr="007F4CF8">
        <w:t>:</w:t>
      </w:r>
    </w:p>
    <w:p w14:paraId="68DE9099" w14:textId="04460647" w:rsidR="009A781D" w:rsidRPr="007F4CF8" w:rsidRDefault="0087443E" w:rsidP="00534F86">
      <w:pPr>
        <w:pStyle w:val="P-p2"/>
        <w:ind w:left="851" w:hanging="284"/>
      </w:pPr>
      <w:r w:rsidRPr="007F4CF8">
        <w:t>dla lokalizacji 1 oraz lokalizacji 2 przewidziano budowę stacji transformatorowej</w:t>
      </w:r>
      <w:r w:rsidR="005A783C" w:rsidRPr="007F4CF8">
        <w:t>, która będzie zasilać także przetwornice na stanowiskach pos</w:t>
      </w:r>
      <w:r w:rsidR="004739E7" w:rsidRPr="007F4CF8">
        <w:t>t</w:t>
      </w:r>
      <w:r w:rsidR="005A783C" w:rsidRPr="007F4CF8">
        <w:t>ojowych</w:t>
      </w:r>
    </w:p>
    <w:p w14:paraId="70A6E912" w14:textId="7389D456" w:rsidR="0087443E" w:rsidRPr="007F4CF8" w:rsidRDefault="0087443E" w:rsidP="00534F86">
      <w:pPr>
        <w:pStyle w:val="P-p2"/>
        <w:ind w:left="851" w:hanging="284"/>
      </w:pPr>
      <w:r w:rsidRPr="007F4CF8">
        <w:t xml:space="preserve">dla lokalizacji </w:t>
      </w:r>
      <w:r w:rsidR="005A783C" w:rsidRPr="007F4CF8">
        <w:t>3 ładowarki pojazdów należy zasilić z istniejących stacji transformatorowych ST-4 oraz ST-8B</w:t>
      </w:r>
    </w:p>
    <w:p w14:paraId="09A3DD55" w14:textId="46AB6FB6" w:rsidR="006C2C19" w:rsidRPr="007F4CF8" w:rsidRDefault="006C2C19" w:rsidP="00534F86">
      <w:pPr>
        <w:pStyle w:val="P-p2"/>
        <w:ind w:left="851" w:hanging="284"/>
      </w:pPr>
      <w:r w:rsidRPr="007F4CF8">
        <w:t xml:space="preserve">dla przetwornic 400Hz </w:t>
      </w:r>
      <w:r w:rsidR="006328BF" w:rsidRPr="007F4CF8">
        <w:t xml:space="preserve">planowanych na stanowiskach </w:t>
      </w:r>
      <w:r w:rsidR="006328BF" w:rsidRPr="007F4CF8">
        <w:rPr>
          <w:rStyle w:val="Uwydatnienie"/>
        </w:rPr>
        <w:t xml:space="preserve">37, 38, 39, 94 </w:t>
      </w:r>
      <w:r w:rsidR="004148B7" w:rsidRPr="007F4CF8">
        <w:t xml:space="preserve">zbudowana zostanie stacja z zapasem mocy odpowiednim dla </w:t>
      </w:r>
      <w:r w:rsidR="00C57740" w:rsidRPr="007F4CF8">
        <w:t>wyposażenia w</w:t>
      </w:r>
      <w:r w:rsidR="00C94831" w:rsidRPr="007F4CF8">
        <w:t> </w:t>
      </w:r>
      <w:r w:rsidR="00C57740" w:rsidRPr="007F4CF8">
        <w:t xml:space="preserve">przetwornice 400Hz kolejnych stanowisk na </w:t>
      </w:r>
      <w:r w:rsidR="00C34B2A" w:rsidRPr="007F4CF8">
        <w:t xml:space="preserve">PPS 1 przed hangarami, </w:t>
      </w:r>
      <w:r w:rsidR="00C57740" w:rsidRPr="007F4CF8">
        <w:t>PPS</w:t>
      </w:r>
      <w:r w:rsidR="004739E7" w:rsidRPr="007F4CF8">
        <w:t xml:space="preserve"> </w:t>
      </w:r>
      <w:r w:rsidR="00C57740" w:rsidRPr="007F4CF8">
        <w:t>2</w:t>
      </w:r>
      <w:r w:rsidR="004739E7" w:rsidRPr="007F4CF8">
        <w:t xml:space="preserve"> oraz PPS 3.</w:t>
      </w:r>
    </w:p>
    <w:p w14:paraId="5345A287" w14:textId="11A4E16E" w:rsidR="0025768C" w:rsidRDefault="0025768C" w:rsidP="00534F86">
      <w:pPr>
        <w:pStyle w:val="N-p2"/>
        <w:ind w:left="0"/>
      </w:pPr>
      <w:r>
        <w:t>Stacje powinny zostać zaprojektowane jako</w:t>
      </w:r>
      <w:r w:rsidR="00065652">
        <w:t xml:space="preserve"> dwusekcyjne,</w:t>
      </w:r>
      <w:r>
        <w:t xml:space="preserve"> wolnostojące, kontenerowe stacje transformatorowe wyposażone w rozdzielnicę SN, rozdzielnice </w:t>
      </w:r>
      <w:proofErr w:type="spellStart"/>
      <w:r>
        <w:t>nN</w:t>
      </w:r>
      <w:proofErr w:type="spellEnd"/>
      <w:r>
        <w:t>, komory transformatorów.</w:t>
      </w:r>
    </w:p>
    <w:p w14:paraId="7D68FAAB" w14:textId="172E4DD6" w:rsidR="00556C95" w:rsidRDefault="00556C95" w:rsidP="00534F86">
      <w:pPr>
        <w:pStyle w:val="N-p2"/>
        <w:ind w:left="0"/>
      </w:pPr>
      <w:r>
        <w:t>Należy zastosować transformatory olejowe.</w:t>
      </w:r>
    </w:p>
    <w:p w14:paraId="76A58693" w14:textId="4E833E1C" w:rsidR="00065652" w:rsidRDefault="0025768C" w:rsidP="00534F86">
      <w:pPr>
        <w:pStyle w:val="N-p2"/>
        <w:ind w:left="0"/>
      </w:pPr>
      <w:r>
        <w:t xml:space="preserve">Należy przyjąć założenie, że </w:t>
      </w:r>
      <w:r w:rsidR="00D748E4">
        <w:t xml:space="preserve">stacje wyposażone będą w układy </w:t>
      </w:r>
      <w:r w:rsidR="004048F1">
        <w:t>samoczynnego załączania rezerwy (SZR)</w:t>
      </w:r>
      <w:r w:rsidR="000531DD">
        <w:t xml:space="preserve"> po stronie </w:t>
      </w:r>
      <w:proofErr w:type="spellStart"/>
      <w:r w:rsidR="000531DD">
        <w:t>nN.</w:t>
      </w:r>
      <w:proofErr w:type="spellEnd"/>
      <w:r w:rsidR="000531DD">
        <w:t xml:space="preserve"> </w:t>
      </w:r>
      <w:r w:rsidR="004048F1">
        <w:t>Dla przetwornic 400Hz zasilających sta</w:t>
      </w:r>
      <w:r w:rsidR="007617A1">
        <w:t xml:space="preserve">nowiska postoju samolotów napięcie powinno być gwarantowane w/w układem. Dla odbiorów zasilających ładowarki pojazdów oraz punkty </w:t>
      </w:r>
      <w:r w:rsidR="007617A1">
        <w:lastRenderedPageBreak/>
        <w:t>ładowania</w:t>
      </w:r>
      <w:r w:rsidR="00CF5D1A">
        <w:t xml:space="preserve"> nie jest to wymagane, choć dopuszczalne w przypadku istniejących możliwości technicznych (zapas mocy)</w:t>
      </w:r>
      <w:r w:rsidR="00CA68B4">
        <w:t xml:space="preserve"> – rozdzielnia </w:t>
      </w:r>
      <w:proofErr w:type="spellStart"/>
      <w:r w:rsidR="00CA68B4">
        <w:t>nN</w:t>
      </w:r>
      <w:proofErr w:type="spellEnd"/>
      <w:r w:rsidR="00CA68B4">
        <w:t xml:space="preserve"> powinna być wyposażona w odpowiednie układy umożliwiające ręczne załączenie </w:t>
      </w:r>
      <w:r w:rsidR="00FE4056">
        <w:t>rezerwy przez obsługę</w:t>
      </w:r>
      <w:r w:rsidR="00CF5D1A">
        <w:t>.</w:t>
      </w:r>
      <w:r w:rsidR="00D65B55">
        <w:t xml:space="preserve"> W przypadku rozwiązania wykorzystującego układ SZR po stronie </w:t>
      </w:r>
      <w:proofErr w:type="spellStart"/>
      <w:r w:rsidR="00D65B55">
        <w:t>nN</w:t>
      </w:r>
      <w:proofErr w:type="spellEnd"/>
      <w:r w:rsidR="00D65B55">
        <w:t xml:space="preserve"> rozdzielnica </w:t>
      </w:r>
      <w:proofErr w:type="spellStart"/>
      <w:r w:rsidR="00D65B55">
        <w:t>nN</w:t>
      </w:r>
      <w:proofErr w:type="spellEnd"/>
      <w:r w:rsidR="00D65B55">
        <w:t xml:space="preserve"> powinna posiadać sekcje zarówno z napięciem rezerwowanym jak i nie rezerwowanym.</w:t>
      </w:r>
    </w:p>
    <w:p w14:paraId="682027EC" w14:textId="207EDC6D" w:rsidR="00065652" w:rsidRDefault="00065652" w:rsidP="00534F86">
      <w:pPr>
        <w:pStyle w:val="N-p2"/>
        <w:ind w:left="0"/>
      </w:pPr>
      <w:r>
        <w:t xml:space="preserve">Stacje należy wyposażyć w standardowe elementy: klimatyzacja, </w:t>
      </w:r>
      <w:r w:rsidR="00C03223">
        <w:t>wentylacja, zabezpieczenia termiczne komór transformatorów, oświetlenie (w tym awaryjne)</w:t>
      </w:r>
      <w:r w:rsidR="006C22C1">
        <w:t>, utwardzony teren wokół stacji.</w:t>
      </w:r>
    </w:p>
    <w:p w14:paraId="0B5ACF20" w14:textId="6C896B4E" w:rsidR="001F00DA" w:rsidRDefault="00AC4FD4" w:rsidP="00534F86">
      <w:pPr>
        <w:pStyle w:val="N-p2"/>
        <w:ind w:left="0"/>
      </w:pPr>
      <w:r>
        <w:t xml:space="preserve">Stacje powinny posiadać </w:t>
      </w:r>
      <w:r w:rsidR="00477C78">
        <w:t xml:space="preserve">dokumenty </w:t>
      </w:r>
      <w:r w:rsidR="00F36077">
        <w:t xml:space="preserve"> potwierdzające zgodność z norm</w:t>
      </w:r>
      <w:r w:rsidR="00A42206">
        <w:t>ą</w:t>
      </w:r>
      <w:r w:rsidR="00A60668">
        <w:t xml:space="preserve"> </w:t>
      </w:r>
      <w:r w:rsidR="00370D56">
        <w:t>PN-EN IEC</w:t>
      </w:r>
      <w:r w:rsidR="0046282A">
        <w:t xml:space="preserve"> 62271</w:t>
      </w:r>
      <w:r w:rsidR="002905D8">
        <w:t xml:space="preserve"> – Wysokonapięciowa aparatura rozdzielcza i sterownicza</w:t>
      </w:r>
      <w:r w:rsidR="0046282A">
        <w:t>,</w:t>
      </w:r>
      <w:r w:rsidR="00D37DE0">
        <w:t xml:space="preserve"> w szczególności część </w:t>
      </w:r>
      <w:r w:rsidR="002905D8">
        <w:t>1 (</w:t>
      </w:r>
      <w:r w:rsidR="006A3802">
        <w:t>postanowienia wspólne dla aparatury rozdzielczej i sterowniczej prądu przemiennego</w:t>
      </w:r>
      <w:r w:rsidR="002905D8">
        <w:t>)</w:t>
      </w:r>
      <w:r w:rsidR="006A3802">
        <w:t xml:space="preserve">, </w:t>
      </w:r>
      <w:r w:rsidR="0046282A">
        <w:t xml:space="preserve"> część 202</w:t>
      </w:r>
      <w:r w:rsidR="00F40800">
        <w:t xml:space="preserve"> </w:t>
      </w:r>
      <w:r w:rsidR="00A42206">
        <w:t>(</w:t>
      </w:r>
      <w:r w:rsidR="00CD09D9">
        <w:t>Stacje prefabrykowane prądu przemiennego na napięcia powyżej 1kV do 52kV włącznie)</w:t>
      </w:r>
      <w:r w:rsidR="003B7DC5">
        <w:t>, część 200 (rozdzielnice prądu przemiennego w osłonach metalowych na napięcie znamionowe powyżej 1kV do 52kV)</w:t>
      </w:r>
      <w:r w:rsidR="00F40800">
        <w:t xml:space="preserve"> </w:t>
      </w:r>
      <w:r w:rsidR="00370D56">
        <w:t>wystawione przez niezależną jednostkę</w:t>
      </w:r>
      <w:r w:rsidR="00123BF0">
        <w:t xml:space="preserve"> i dostępną na etapie składania dokumentacji przetargowej.</w:t>
      </w:r>
    </w:p>
    <w:p w14:paraId="4B3A28CC" w14:textId="2604BFD4" w:rsidR="00123BF0" w:rsidRDefault="00902087" w:rsidP="00534F86">
      <w:pPr>
        <w:pStyle w:val="N-p2"/>
        <w:ind w:left="0"/>
      </w:pPr>
      <w:r>
        <w:t>Stacje powinny zostać wyposażone w</w:t>
      </w:r>
      <w:r w:rsidR="00995891">
        <w:t xml:space="preserve"> sprzęt niezbędny do ich prawidłowej eksploatacji (m.in. sprzęt dielektryczny: rękawice, buty, dywaniki; drążki izolacyjne, optyczno-akustyczne wskaźniki napięcia</w:t>
      </w:r>
      <w:r w:rsidR="00903277">
        <w:t xml:space="preserve"> o wytrzymałości odpowiadającej napięciu stosowanemu w sieci Zamawiającego</w:t>
      </w:r>
      <w:r w:rsidR="00EE0A22">
        <w:t>, oświetlenie</w:t>
      </w:r>
      <w:r w:rsidR="00071B53">
        <w:t>, instalację uziemiającą, barierki ochronne w komorach transformatorów</w:t>
      </w:r>
      <w:r w:rsidR="00785CF3">
        <w:t>, oznaczenia</w:t>
      </w:r>
      <w:r w:rsidR="00903277">
        <w:t>).</w:t>
      </w:r>
    </w:p>
    <w:p w14:paraId="180338F9" w14:textId="48C8C61F" w:rsidR="00903277" w:rsidRDefault="00903277" w:rsidP="00534F86">
      <w:pPr>
        <w:pStyle w:val="N-p2"/>
        <w:ind w:left="0"/>
      </w:pPr>
      <w:r>
        <w:t>Dostęp</w:t>
      </w:r>
      <w:r w:rsidR="00F5210D">
        <w:t xml:space="preserve"> do wszystkich wejść stacji powinien odbywać się po terenie utwardzonym.</w:t>
      </w:r>
    </w:p>
    <w:p w14:paraId="62B9A1D6" w14:textId="6234D476" w:rsidR="00535D68" w:rsidRDefault="002A7380" w:rsidP="00535D68">
      <w:pPr>
        <w:pStyle w:val="Nagwek1"/>
      </w:pPr>
      <w:bookmarkStart w:id="7" w:name="_Toc222390092"/>
      <w:r>
        <w:t>Ładowarki pojazdów</w:t>
      </w:r>
      <w:bookmarkEnd w:id="7"/>
    </w:p>
    <w:p w14:paraId="1FC79C85" w14:textId="5D858522" w:rsidR="00535D68" w:rsidRDefault="002D429C" w:rsidP="00534F86">
      <w:pPr>
        <w:pStyle w:val="N-p1"/>
        <w:ind w:left="0"/>
      </w:pPr>
      <w:r>
        <w:t>Stacje</w:t>
      </w:r>
      <w:r w:rsidR="002533C0">
        <w:t xml:space="preserve"> ładowania pojazdów obsługi naziemnej</w:t>
      </w:r>
      <w:r>
        <w:t xml:space="preserve"> </w:t>
      </w:r>
      <w:r w:rsidR="002533C0">
        <w:t xml:space="preserve">powinny być zlokalizowane w </w:t>
      </w:r>
      <w:r w:rsidR="00DE6C1B">
        <w:t>obszarach</w:t>
      </w:r>
      <w:r w:rsidR="002533C0">
        <w:t xml:space="preserve"> </w:t>
      </w:r>
      <w:r w:rsidR="004D4A78">
        <w:t xml:space="preserve">największej aktywności firm świadczących usługi na terenie strefy operacyjnej lotniska </w:t>
      </w:r>
      <w:r w:rsidR="002533C0">
        <w:t>wskazanych w</w:t>
      </w:r>
      <w:r w:rsidR="006C22C1">
        <w:t xml:space="preserve"> </w:t>
      </w:r>
      <w:r w:rsidR="002533C0">
        <w:t xml:space="preserve">punkcie </w:t>
      </w:r>
      <w:r w:rsidR="00B47F44">
        <w:fldChar w:fldCharType="begin"/>
      </w:r>
      <w:r w:rsidR="00B47F44">
        <w:instrText xml:space="preserve"> REF _Ref222390211 \r \h </w:instrText>
      </w:r>
      <w:r w:rsidR="00B47F44">
        <w:fldChar w:fldCharType="separate"/>
      </w:r>
      <w:r w:rsidR="0070494A">
        <w:t>1.2</w:t>
      </w:r>
      <w:r w:rsidR="00B47F44">
        <w:fldChar w:fldCharType="end"/>
      </w:r>
      <w:r w:rsidR="006C22C1">
        <w:t xml:space="preserve"> oraz w </w:t>
      </w:r>
      <w:r w:rsidR="008732B6">
        <w:t xml:space="preserve"> załączniku </w:t>
      </w:r>
      <w:r w:rsidR="00186853">
        <w:t>nr 1 do OPZ mapa lotniska</w:t>
      </w:r>
      <w:r w:rsidR="00B47F44">
        <w:t xml:space="preserve">. Urządzenia </w:t>
      </w:r>
      <w:r w:rsidR="00EB30EF">
        <w:t xml:space="preserve">należy dostosować do pracy w warunkach </w:t>
      </w:r>
      <w:r w:rsidR="007574BC">
        <w:t>zewnętrznych (stopień ochrony min. IP54)</w:t>
      </w:r>
      <w:r w:rsidR="00A032C8">
        <w:t xml:space="preserve">, powinny być odporne na UV, przeznaczone </w:t>
      </w:r>
      <w:r w:rsidR="008A7E4B">
        <w:t>do prac w przestrzeni publicznej, zamontowane na stałe na stabilnych podstawach</w:t>
      </w:r>
      <w:r w:rsidR="004D4A78">
        <w:t xml:space="preserve"> wraz z wydzieleni</w:t>
      </w:r>
      <w:r w:rsidR="00A9345D">
        <w:t>em i oznakowaniem</w:t>
      </w:r>
      <w:r w:rsidR="004D4A78">
        <w:t xml:space="preserve"> miejsca postoju na czas ładowania</w:t>
      </w:r>
      <w:r w:rsidR="00A9345D">
        <w:t xml:space="preserve"> w zależności od kategorii pojazdu</w:t>
      </w:r>
      <w:r w:rsidR="00920883">
        <w:t>.</w:t>
      </w:r>
    </w:p>
    <w:p w14:paraId="7FD57C72" w14:textId="4E0D109C" w:rsidR="008207C9" w:rsidRDefault="008207C9" w:rsidP="00534F86">
      <w:pPr>
        <w:pStyle w:val="N-p1"/>
        <w:ind w:left="0"/>
      </w:pPr>
      <w:r>
        <w:t>Dostawca ładowarek powinien umożliwiać</w:t>
      </w:r>
      <w:r w:rsidR="00CF18F5">
        <w:t xml:space="preserve"> dokonanie audytu Technicznego u producenta w zakresie oferowanych urządzeń.</w:t>
      </w:r>
    </w:p>
    <w:p w14:paraId="7713D85C" w14:textId="77777777" w:rsidR="0086385F" w:rsidRPr="0086385F" w:rsidRDefault="0086385F" w:rsidP="0086385F">
      <w:pPr>
        <w:pStyle w:val="Akapitzlist"/>
        <w:keepNext/>
        <w:keepLines/>
        <w:numPr>
          <w:ilvl w:val="0"/>
          <w:numId w:val="7"/>
        </w:numPr>
        <w:spacing w:before="8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</w:rPr>
      </w:pPr>
    </w:p>
    <w:p w14:paraId="1580C4AF" w14:textId="04838683" w:rsidR="0086385F" w:rsidRDefault="002D429C" w:rsidP="0086385F">
      <w:pPr>
        <w:pStyle w:val="Nagwek2"/>
      </w:pPr>
      <w:r>
        <w:t xml:space="preserve">Stacje </w:t>
      </w:r>
      <w:r w:rsidR="00A9345D">
        <w:t xml:space="preserve">szybkiego </w:t>
      </w:r>
      <w:r>
        <w:t>ładowania pojazdów</w:t>
      </w:r>
      <w:r w:rsidR="00A9345D">
        <w:t xml:space="preserve"> 180 kW</w:t>
      </w:r>
    </w:p>
    <w:p w14:paraId="6FA69B31" w14:textId="62C17AED" w:rsidR="002D429C" w:rsidRDefault="009F40BF" w:rsidP="009F40BF">
      <w:pPr>
        <w:pStyle w:val="N-p2"/>
      </w:pPr>
      <w:r>
        <w:t>Stacje</w:t>
      </w:r>
      <w:r w:rsidR="00A9345D">
        <w:t xml:space="preserve"> szybkiego</w:t>
      </w:r>
      <w:r>
        <w:t xml:space="preserve"> ładowania pojazdów powinny spełniać warunki:</w:t>
      </w:r>
    </w:p>
    <w:p w14:paraId="0F76FC78" w14:textId="34B4A597" w:rsidR="009F40BF" w:rsidRDefault="0069157D" w:rsidP="00534F86">
      <w:pPr>
        <w:pStyle w:val="P-p2"/>
        <w:ind w:left="709" w:hanging="425"/>
      </w:pPr>
      <w:r>
        <w:t xml:space="preserve">6 stacji szybkiego ładowania o </w:t>
      </w:r>
      <w:r w:rsidR="009F40BF">
        <w:t>moc</w:t>
      </w:r>
      <w:r>
        <w:t>y</w:t>
      </w:r>
      <w:r w:rsidR="009F40BF">
        <w:t xml:space="preserve"> 180kW</w:t>
      </w:r>
      <w:r>
        <w:t xml:space="preserve"> każda,</w:t>
      </w:r>
    </w:p>
    <w:p w14:paraId="07A33384" w14:textId="28871D7C" w:rsidR="009F40BF" w:rsidRDefault="009F40BF" w:rsidP="00534F86">
      <w:pPr>
        <w:pStyle w:val="P-p2"/>
        <w:ind w:left="709" w:hanging="425"/>
      </w:pPr>
      <w:r>
        <w:t>dwa</w:t>
      </w:r>
      <w:r w:rsidR="0095259F">
        <w:t xml:space="preserve"> przyłącza dla każdej stacji (w przypadku ładowania za pomocą jednego przyłącza ładowanie powinno odbywać się pełną mocą urządzenia, w przypadku ładowania za pomocą dwóch przyłączy moc powinna być dzielona między dwa pojazdy)</w:t>
      </w:r>
    </w:p>
    <w:p w14:paraId="6282D977" w14:textId="65779971" w:rsidR="00135B7D" w:rsidRDefault="00135B7D" w:rsidP="00534F86">
      <w:pPr>
        <w:pStyle w:val="P-p2"/>
        <w:ind w:left="709" w:hanging="425"/>
      </w:pPr>
      <w:r>
        <w:t xml:space="preserve">długość przewodu </w:t>
      </w:r>
      <w:r w:rsidR="00D34E76">
        <w:t xml:space="preserve">od ładowarki do pojazdu </w:t>
      </w:r>
      <w:r>
        <w:t xml:space="preserve">pozwalająca ładować autobusy lotniskowe (min. </w:t>
      </w:r>
      <w:r w:rsidR="00D34E76">
        <w:t>15m).</w:t>
      </w:r>
    </w:p>
    <w:p w14:paraId="0FCBE597" w14:textId="37E3C844" w:rsidR="0095259F" w:rsidRDefault="0095259F" w:rsidP="00534F86">
      <w:pPr>
        <w:pStyle w:val="P-p2"/>
        <w:ind w:left="709" w:hanging="425"/>
      </w:pPr>
      <w:r>
        <w:t xml:space="preserve">zgodność z normami, m.in. </w:t>
      </w:r>
      <w:r w:rsidR="006F628A">
        <w:t>IEC 61851 – systemy ładowania przewodowego EV, IEC 62196 – wtyki i gniazda</w:t>
      </w:r>
      <w:r w:rsidR="004F3F1D">
        <w:t>, IEC 60529 – stopień ochrony IP</w:t>
      </w:r>
    </w:p>
    <w:p w14:paraId="19857DB5" w14:textId="77777777" w:rsidR="00C67D46" w:rsidRDefault="004F3F1D" w:rsidP="00534F86">
      <w:pPr>
        <w:pStyle w:val="P-p2"/>
        <w:ind w:left="709" w:hanging="425"/>
      </w:pPr>
      <w:r>
        <w:t>urządzenie powinno być wyposażone we wtyki Type2, CCS</w:t>
      </w:r>
    </w:p>
    <w:p w14:paraId="1AB0FE8D" w14:textId="0D19920E" w:rsidR="00C67D46" w:rsidRDefault="00C67D46" w:rsidP="00C25564">
      <w:pPr>
        <w:pStyle w:val="P-p2"/>
        <w:numPr>
          <w:ilvl w:val="0"/>
          <w:numId w:val="0"/>
        </w:numPr>
        <w:ind w:left="1068" w:hanging="360"/>
      </w:pPr>
    </w:p>
    <w:p w14:paraId="2904CE2C" w14:textId="77777777" w:rsidR="00534F86" w:rsidRDefault="00534F86" w:rsidP="00C25564">
      <w:pPr>
        <w:pStyle w:val="P-p2"/>
        <w:numPr>
          <w:ilvl w:val="0"/>
          <w:numId w:val="0"/>
        </w:numPr>
        <w:ind w:left="1068" w:hanging="360"/>
      </w:pPr>
    </w:p>
    <w:p w14:paraId="5F38042D" w14:textId="77777777" w:rsidR="00C67D46" w:rsidRPr="0039203B" w:rsidRDefault="00C67D46" w:rsidP="00C25564">
      <w:pPr>
        <w:pStyle w:val="P-p2"/>
        <w:numPr>
          <w:ilvl w:val="0"/>
          <w:numId w:val="0"/>
        </w:numPr>
        <w:ind w:left="1068"/>
      </w:pPr>
      <w:r w:rsidRPr="0039203B">
        <w:lastRenderedPageBreak/>
        <w:t xml:space="preserve">Lokalizacja: </w:t>
      </w:r>
    </w:p>
    <w:p w14:paraId="53403FDD" w14:textId="0895CA79" w:rsidR="00C67D46" w:rsidRPr="0039203B" w:rsidRDefault="00C67D46" w:rsidP="008A75EC">
      <w:pPr>
        <w:pStyle w:val="P-p2"/>
      </w:pPr>
      <w:r w:rsidRPr="0039203B">
        <w:t xml:space="preserve">plac </w:t>
      </w:r>
      <w:proofErr w:type="spellStart"/>
      <w:r w:rsidRPr="0039203B">
        <w:t>handlingowy</w:t>
      </w:r>
      <w:proofErr w:type="spellEnd"/>
      <w:r w:rsidRPr="0039203B">
        <w:t xml:space="preserve"> przy terminalu C: 1 x 180 </w:t>
      </w:r>
      <w:proofErr w:type="spellStart"/>
      <w:r w:rsidR="007816D2" w:rsidRPr="0039203B">
        <w:t>kw</w:t>
      </w:r>
      <w:proofErr w:type="spellEnd"/>
      <w:r w:rsidRPr="0039203B">
        <w:t xml:space="preserve"> </w:t>
      </w:r>
      <w:r w:rsidR="007816D2" w:rsidRPr="0039203B">
        <w:t>z</w:t>
      </w:r>
      <w:r w:rsidRPr="0039203B">
        <w:t xml:space="preserve"> 2 </w:t>
      </w:r>
      <w:r w:rsidR="007816D2" w:rsidRPr="0039203B">
        <w:t>punktami ładowania,</w:t>
      </w:r>
    </w:p>
    <w:p w14:paraId="65D470CB" w14:textId="64301D03" w:rsidR="007816D2" w:rsidRPr="0039203B" w:rsidRDefault="007816D2" w:rsidP="008A75EC">
      <w:pPr>
        <w:pStyle w:val="P-p2"/>
      </w:pPr>
      <w:r w:rsidRPr="0039203B">
        <w:t xml:space="preserve">strefa obsługi technicznej AON 1: 1 x 180 </w:t>
      </w:r>
      <w:proofErr w:type="spellStart"/>
      <w:r w:rsidRPr="0039203B">
        <w:t>kw</w:t>
      </w:r>
      <w:proofErr w:type="spellEnd"/>
      <w:r w:rsidRPr="0039203B">
        <w:t xml:space="preserve"> z 2 punktami ładowania,</w:t>
      </w:r>
    </w:p>
    <w:p w14:paraId="64C672AD" w14:textId="5BC4A9B6" w:rsidR="007816D2" w:rsidRPr="0039203B" w:rsidRDefault="007816D2" w:rsidP="008A75EC">
      <w:pPr>
        <w:pStyle w:val="P-p2"/>
      </w:pPr>
      <w:r w:rsidRPr="0039203B">
        <w:t xml:space="preserve">strefa obsługi technicznej AON 2: 1 x 180 </w:t>
      </w:r>
      <w:proofErr w:type="spellStart"/>
      <w:r w:rsidRPr="0039203B">
        <w:t>kw</w:t>
      </w:r>
      <w:proofErr w:type="spellEnd"/>
      <w:r w:rsidRPr="0039203B">
        <w:t xml:space="preserve"> z 2 punktami ładowania,</w:t>
      </w:r>
    </w:p>
    <w:p w14:paraId="70DBBC03" w14:textId="5F58A349" w:rsidR="007816D2" w:rsidRPr="0039203B" w:rsidRDefault="007816D2" w:rsidP="008A75EC">
      <w:pPr>
        <w:pStyle w:val="P-p2"/>
      </w:pPr>
      <w:r w:rsidRPr="0039203B">
        <w:t xml:space="preserve">plac </w:t>
      </w:r>
      <w:proofErr w:type="spellStart"/>
      <w:r w:rsidRPr="0039203B">
        <w:t>handlingowy</w:t>
      </w:r>
      <w:proofErr w:type="spellEnd"/>
      <w:r w:rsidRPr="0039203B">
        <w:t xml:space="preserve"> na zachód od Hangaru H1: 1 x 180 </w:t>
      </w:r>
      <w:proofErr w:type="spellStart"/>
      <w:r w:rsidRPr="0039203B">
        <w:t>kw</w:t>
      </w:r>
      <w:proofErr w:type="spellEnd"/>
      <w:r w:rsidRPr="0039203B">
        <w:t xml:space="preserve"> z 2 punktami ładowania,</w:t>
      </w:r>
    </w:p>
    <w:p w14:paraId="04756D4D" w14:textId="068ED3B4" w:rsidR="007816D2" w:rsidRPr="0039203B" w:rsidRDefault="007816D2" w:rsidP="008A75EC">
      <w:pPr>
        <w:pStyle w:val="P-p2"/>
      </w:pPr>
      <w:r w:rsidRPr="0039203B">
        <w:t xml:space="preserve">plac </w:t>
      </w:r>
      <w:proofErr w:type="spellStart"/>
      <w:r w:rsidRPr="0039203B">
        <w:t>handlingowy</w:t>
      </w:r>
      <w:proofErr w:type="spellEnd"/>
      <w:r w:rsidRPr="0039203B">
        <w:t xml:space="preserve"> na południe od Hangaru H1: 1 x 180 </w:t>
      </w:r>
      <w:proofErr w:type="spellStart"/>
      <w:r w:rsidRPr="0039203B">
        <w:t>kw</w:t>
      </w:r>
      <w:proofErr w:type="spellEnd"/>
      <w:r w:rsidRPr="0039203B">
        <w:t xml:space="preserve"> z 2 punktami ładowania,</w:t>
      </w:r>
    </w:p>
    <w:p w14:paraId="79D9EED5" w14:textId="19EA9C8B" w:rsidR="007816D2" w:rsidRPr="0039203B" w:rsidRDefault="007816D2" w:rsidP="008A75EC">
      <w:pPr>
        <w:pStyle w:val="P-p2"/>
      </w:pPr>
      <w:r w:rsidRPr="0039203B">
        <w:t xml:space="preserve">plac </w:t>
      </w:r>
      <w:proofErr w:type="spellStart"/>
      <w:r w:rsidRPr="0039203B">
        <w:t>handlingowy</w:t>
      </w:r>
      <w:proofErr w:type="spellEnd"/>
      <w:r w:rsidRPr="0039203B">
        <w:t xml:space="preserve"> Hangaru H4: 1 x 180 </w:t>
      </w:r>
      <w:proofErr w:type="spellStart"/>
      <w:r w:rsidRPr="0039203B">
        <w:t>kw</w:t>
      </w:r>
      <w:proofErr w:type="spellEnd"/>
      <w:r w:rsidRPr="0039203B">
        <w:t xml:space="preserve"> z 2 punktami ładowania.</w:t>
      </w:r>
    </w:p>
    <w:p w14:paraId="2420FD85" w14:textId="1DFBB665" w:rsidR="00C67D46" w:rsidRDefault="00C67D46" w:rsidP="001E3FF7">
      <w:pPr>
        <w:pStyle w:val="P-p2"/>
        <w:numPr>
          <w:ilvl w:val="0"/>
          <w:numId w:val="0"/>
        </w:numPr>
        <w:ind w:left="1068"/>
      </w:pPr>
    </w:p>
    <w:p w14:paraId="59D4B0CF" w14:textId="551C7F05" w:rsidR="007816D2" w:rsidRDefault="007816D2" w:rsidP="00534F86">
      <w:pPr>
        <w:pStyle w:val="P-p2"/>
        <w:numPr>
          <w:ilvl w:val="0"/>
          <w:numId w:val="0"/>
        </w:numPr>
      </w:pPr>
      <w:r>
        <w:t xml:space="preserve">Wyznaczony obszar do ładowania pojazdów powinien umożliwiać bezkolizyjny podjazd i odjazd pojazdów dla każdego z użytkowników lotniska. Dla stacji szybkiego ładowania zakłada się jednoczesny postój jednego autobusu lub 2 pojazdów. </w:t>
      </w:r>
    </w:p>
    <w:p w14:paraId="17C4A198" w14:textId="42A7E0F0" w:rsidR="009779FA" w:rsidRDefault="00A9345D" w:rsidP="00534F86">
      <w:pPr>
        <w:pStyle w:val="P-p2"/>
        <w:numPr>
          <w:ilvl w:val="0"/>
          <w:numId w:val="0"/>
        </w:numPr>
      </w:pPr>
      <w:r w:rsidRPr="00A9345D">
        <w:t xml:space="preserve">Stacje przeznaczone będą głównie do ładowania </w:t>
      </w:r>
      <w:r w:rsidR="0069157D">
        <w:t>autobusów</w:t>
      </w:r>
      <w:r>
        <w:t xml:space="preserve"> elektrycznych</w:t>
      </w:r>
      <w:r w:rsidRPr="00A9345D">
        <w:t xml:space="preserve"> agentów </w:t>
      </w:r>
      <w:proofErr w:type="spellStart"/>
      <w:r w:rsidRPr="00A9345D">
        <w:t>handlingowych</w:t>
      </w:r>
      <w:proofErr w:type="spellEnd"/>
      <w:r w:rsidRPr="00A9345D">
        <w:t xml:space="preserve"> służących do przewozu pasażerów pomiędzy terminalami a stanowiskami postojowymi</w:t>
      </w:r>
      <w:r w:rsidR="0069157D">
        <w:t xml:space="preserve"> oraz pojazdów elektrycznych wszystkich użytkowników lotniska w strefie operacyjnej</w:t>
      </w:r>
      <w:r w:rsidRPr="00A9345D">
        <w:t>.</w:t>
      </w:r>
      <w:r>
        <w:t xml:space="preserve"> Autobusy lotniskowe posiadają wymiary: 3,6m szerokość, 16m długość. </w:t>
      </w:r>
    </w:p>
    <w:p w14:paraId="0A7076BC" w14:textId="75A21ECF" w:rsidR="009779FA" w:rsidRDefault="009779FA" w:rsidP="00534F86">
      <w:pPr>
        <w:pStyle w:val="P-p2"/>
        <w:numPr>
          <w:ilvl w:val="0"/>
          <w:numId w:val="0"/>
        </w:numPr>
      </w:pPr>
      <w:r>
        <w:t>Stacje szybkiego ładowania pojazdów powinny być wyposażone w przewody</w:t>
      </w:r>
      <w:r w:rsidR="00D8511E">
        <w:t xml:space="preserve"> łączące urządzenie z pojazdem o długości co najmniej 10m</w:t>
      </w:r>
      <w:r w:rsidR="0066397C">
        <w:t xml:space="preserve"> (użytkowych)</w:t>
      </w:r>
      <w:r w:rsidR="00D8511E">
        <w:t xml:space="preserve"> oraz posiadać system </w:t>
      </w:r>
      <w:r w:rsidR="007B2416">
        <w:t xml:space="preserve">zarządzania kablem (wieszaki, uchwyty, gniazdo </w:t>
      </w:r>
      <w:proofErr w:type="spellStart"/>
      <w:r w:rsidR="007B2416">
        <w:t>odkładcze</w:t>
      </w:r>
      <w:proofErr w:type="spellEnd"/>
      <w:r w:rsidR="007B2416">
        <w:t xml:space="preserve">) zabezpieczający kabel przed </w:t>
      </w:r>
      <w:r w:rsidR="00655A18">
        <w:t>uszkodzeniem po zakończeniu procesu ładowania.</w:t>
      </w:r>
    </w:p>
    <w:p w14:paraId="37B327FA" w14:textId="35764B14" w:rsidR="002B619F" w:rsidRDefault="0015348D" w:rsidP="002B619F">
      <w:pPr>
        <w:pStyle w:val="Nagwek2"/>
      </w:pPr>
      <w:r>
        <w:t>Punkty</w:t>
      </w:r>
      <w:r w:rsidR="00A9345D">
        <w:t xml:space="preserve"> </w:t>
      </w:r>
      <w:r w:rsidR="00294708">
        <w:t>ładowania pojazdów</w:t>
      </w:r>
      <w:r w:rsidR="00A9345D">
        <w:t xml:space="preserve"> 44 kW</w:t>
      </w:r>
    </w:p>
    <w:p w14:paraId="2AD7E83F" w14:textId="66E63377" w:rsidR="000024BF" w:rsidRDefault="0015348D" w:rsidP="000024BF">
      <w:pPr>
        <w:pStyle w:val="N-p2"/>
        <w:ind w:left="0"/>
      </w:pPr>
      <w:r>
        <w:t>Punkty</w:t>
      </w:r>
      <w:r w:rsidR="00047510">
        <w:t xml:space="preserve"> ładowania pojazdów powinny spełniać warunki:</w:t>
      </w:r>
    </w:p>
    <w:p w14:paraId="6D5FF7C6" w14:textId="01EF6513" w:rsidR="00047510" w:rsidRDefault="00047510" w:rsidP="009F10D3">
      <w:pPr>
        <w:pStyle w:val="N-p2"/>
        <w:numPr>
          <w:ilvl w:val="0"/>
          <w:numId w:val="16"/>
        </w:numPr>
      </w:pPr>
      <w:r>
        <w:t xml:space="preserve">18 </w:t>
      </w:r>
      <w:r w:rsidR="00413731">
        <w:t>punktów</w:t>
      </w:r>
      <w:r>
        <w:t xml:space="preserve"> ładowania o mocy 44 kW każd</w:t>
      </w:r>
      <w:r w:rsidR="00413731">
        <w:t>y</w:t>
      </w:r>
      <w:r>
        <w:t>,</w:t>
      </w:r>
    </w:p>
    <w:p w14:paraId="48FDA0FD" w14:textId="4141C6FF" w:rsidR="00CB58A3" w:rsidRDefault="00047510" w:rsidP="009F10D3">
      <w:pPr>
        <w:pStyle w:val="N-p2"/>
        <w:numPr>
          <w:ilvl w:val="0"/>
          <w:numId w:val="16"/>
        </w:numPr>
      </w:pPr>
      <w:r>
        <w:t>p</w:t>
      </w:r>
      <w:r w:rsidR="001F0C33">
        <w:t xml:space="preserve">rzez punkty ładowania pojazdów należy rozumieć złącza kablowe, wyposażone w gniazda odpowiedniej mocy umożliwiające podłączenie przez użytkowników własnych </w:t>
      </w:r>
      <w:r>
        <w:t xml:space="preserve">specjalistycznych </w:t>
      </w:r>
      <w:r w:rsidR="001F0C33">
        <w:t>ładowarek pojazdów (</w:t>
      </w:r>
      <w:r w:rsidR="00E75759">
        <w:t>wózków, taśm</w:t>
      </w:r>
      <w:r w:rsidR="007816D2">
        <w:t xml:space="preserve"> załadunku bagażu do samolotu</w:t>
      </w:r>
      <w:r w:rsidR="00E75759">
        <w:t>, ciągarek</w:t>
      </w:r>
      <w:r w:rsidR="007816D2">
        <w:t xml:space="preserve"> lotniskowych</w:t>
      </w:r>
      <w:r w:rsidR="00E75759">
        <w:t xml:space="preserve">, </w:t>
      </w:r>
      <w:r>
        <w:t xml:space="preserve">mobilnych </w:t>
      </w:r>
      <w:r w:rsidR="00E75759">
        <w:t>schodów</w:t>
      </w:r>
      <w:r>
        <w:t xml:space="preserve"> do samolotów</w:t>
      </w:r>
      <w:r w:rsidR="00E75759">
        <w:t>)</w:t>
      </w:r>
      <w:r w:rsidR="001D539D">
        <w:t xml:space="preserve"> oraz zamontowane w</w:t>
      </w:r>
      <w:r w:rsidR="0015348D">
        <w:t> </w:t>
      </w:r>
      <w:r w:rsidR="001D539D">
        <w:t>bezpośrednim sąsiedztwie każdego złącza ładowarki samochodów niskiej mocy (2x22kW – ładowanie prądem zmiennym) ze złączami typ 2.</w:t>
      </w:r>
      <w:r w:rsidR="000D1D57">
        <w:t xml:space="preserve"> Użytkownik </w:t>
      </w:r>
      <w:r w:rsidR="00E35EE7">
        <w:t>powinien mieć możliwość wyboru z którego sposobu ładowania będzie korzystał.</w:t>
      </w:r>
    </w:p>
    <w:p w14:paraId="632F4A45" w14:textId="7FF90850" w:rsidR="00047510" w:rsidRDefault="00D177D6" w:rsidP="009F10D3">
      <w:pPr>
        <w:pStyle w:val="N-p2"/>
        <w:numPr>
          <w:ilvl w:val="0"/>
          <w:numId w:val="16"/>
        </w:numPr>
      </w:pPr>
      <w:r>
        <w:t xml:space="preserve">ładowarki AC niskiej mocy zainstalowane w punktach ładowania </w:t>
      </w:r>
      <w:r w:rsidR="00256FD6">
        <w:t xml:space="preserve">pojazdów powinny być wyposażone w </w:t>
      </w:r>
      <w:r w:rsidR="00047510" w:rsidRPr="00047510">
        <w:t>dwa przyłącza dla każdej stacji (w przypadku ładowania za pomocą jednego przyłącza ładowanie powinno odbywać się pełną mocą, w przypadku ładowania za pomocą dwóch przyłączy moc powinna być dzielona między dwa pojazdy)</w:t>
      </w:r>
      <w:r w:rsidR="00047510">
        <w:t>.</w:t>
      </w:r>
    </w:p>
    <w:p w14:paraId="6DF6352F" w14:textId="77777777" w:rsidR="007816D2" w:rsidRDefault="007816D2" w:rsidP="00D92889">
      <w:pPr>
        <w:pStyle w:val="P-p2"/>
        <w:numPr>
          <w:ilvl w:val="0"/>
          <w:numId w:val="0"/>
        </w:numPr>
        <w:ind w:left="1440"/>
      </w:pPr>
      <w:r>
        <w:t>L</w:t>
      </w:r>
      <w:r w:rsidRPr="00C67D46">
        <w:t xml:space="preserve">okalizacja: </w:t>
      </w:r>
    </w:p>
    <w:p w14:paraId="3F643C8A" w14:textId="137BF8DC" w:rsidR="007816D2" w:rsidRDefault="007816D2" w:rsidP="00D92889">
      <w:pPr>
        <w:pStyle w:val="P-p2"/>
        <w:numPr>
          <w:ilvl w:val="0"/>
          <w:numId w:val="17"/>
        </w:numPr>
      </w:pPr>
      <w:r w:rsidRPr="00C67D46">
        <w:t xml:space="preserve">plac </w:t>
      </w:r>
      <w:proofErr w:type="spellStart"/>
      <w:r w:rsidRPr="00C67D46">
        <w:t>handlingowy</w:t>
      </w:r>
      <w:proofErr w:type="spellEnd"/>
      <w:r w:rsidRPr="00C67D46">
        <w:t xml:space="preserve"> przy terminalu C</w:t>
      </w:r>
      <w:r>
        <w:t xml:space="preserve">: </w:t>
      </w:r>
      <w:r w:rsidR="00AD0CCC">
        <w:t>8</w:t>
      </w:r>
      <w:r>
        <w:t xml:space="preserve"> x 44 </w:t>
      </w:r>
      <w:proofErr w:type="spellStart"/>
      <w:r>
        <w:t>kw</w:t>
      </w:r>
      <w:proofErr w:type="spellEnd"/>
      <w:r>
        <w:t xml:space="preserve"> po 2 punkty ładowania,</w:t>
      </w:r>
    </w:p>
    <w:p w14:paraId="2E1AA39E" w14:textId="4C576659" w:rsidR="00AD0CCC" w:rsidRDefault="00AD0CCC" w:rsidP="00D92889">
      <w:pPr>
        <w:pStyle w:val="P-p2"/>
        <w:numPr>
          <w:ilvl w:val="0"/>
          <w:numId w:val="17"/>
        </w:numPr>
      </w:pPr>
      <w:r>
        <w:t>strefy obsługi technicznej AON1 i AON2: 6 x 44kW po 2 punkty ładowania</w:t>
      </w:r>
    </w:p>
    <w:p w14:paraId="03734896" w14:textId="1606C9B2" w:rsidR="007816D2" w:rsidRDefault="007816D2" w:rsidP="00D92889">
      <w:pPr>
        <w:pStyle w:val="P-p2"/>
        <w:numPr>
          <w:ilvl w:val="0"/>
          <w:numId w:val="17"/>
        </w:numPr>
      </w:pPr>
      <w:r>
        <w:t xml:space="preserve">plac </w:t>
      </w:r>
      <w:proofErr w:type="spellStart"/>
      <w:r>
        <w:t>handlingowy</w:t>
      </w:r>
      <w:proofErr w:type="spellEnd"/>
      <w:r>
        <w:t xml:space="preserve"> Hangaru H4: 4</w:t>
      </w:r>
      <w:r w:rsidRPr="00C67D46">
        <w:t xml:space="preserve"> x </w:t>
      </w:r>
      <w:r w:rsidR="007808CC">
        <w:t>44</w:t>
      </w:r>
      <w:r w:rsidR="007808CC" w:rsidRPr="00C67D46">
        <w:t xml:space="preserve"> </w:t>
      </w:r>
      <w:proofErr w:type="spellStart"/>
      <w:r>
        <w:t>kw</w:t>
      </w:r>
      <w:proofErr w:type="spellEnd"/>
      <w:r>
        <w:t xml:space="preserve"> z 2 punktami ładowania.</w:t>
      </w:r>
    </w:p>
    <w:p w14:paraId="406E435E" w14:textId="38E5BA8E" w:rsidR="00ED5EF3" w:rsidRDefault="007816D2" w:rsidP="00657A69">
      <w:pPr>
        <w:pStyle w:val="N-p2"/>
        <w:ind w:left="0"/>
      </w:pPr>
      <w:r>
        <w:t>Wyznaczony obszar do ładowania pojazdów powinien umożliwiać bezkolizyjny podjazd i odjazd pojazdów dla każdego z użytkowników lotniska.</w:t>
      </w:r>
    </w:p>
    <w:p w14:paraId="128A7ABF" w14:textId="72870240" w:rsidR="00E75759" w:rsidRDefault="00E75759" w:rsidP="00ED5EF3">
      <w:pPr>
        <w:pStyle w:val="N-p2"/>
        <w:ind w:left="0"/>
      </w:pPr>
      <w:r>
        <w:t>Złącza powinny być wyposażony w system</w:t>
      </w:r>
      <w:r w:rsidR="00C12DEC">
        <w:t xml:space="preserve"> uruchamiający dany odbiór tylko w sytuacji poprawnej identyfikacji użytkownika</w:t>
      </w:r>
      <w:r w:rsidR="008505AA">
        <w:t xml:space="preserve"> oraz zliczający zużycie energii elektrycznej na podstawie identyfikatora użytkownika opisany w punkcie </w:t>
      </w:r>
      <w:r w:rsidR="008505AA">
        <w:fldChar w:fldCharType="begin"/>
      </w:r>
      <w:r w:rsidR="008505AA">
        <w:instrText xml:space="preserve"> REF _Ref222396834 \r \h </w:instrText>
      </w:r>
      <w:r w:rsidR="008505AA">
        <w:fldChar w:fldCharType="separate"/>
      </w:r>
      <w:r w:rsidR="0070494A">
        <w:t>3.4</w:t>
      </w:r>
      <w:r w:rsidR="008505AA">
        <w:fldChar w:fldCharType="end"/>
      </w:r>
      <w:r w:rsidR="008505AA">
        <w:t>.</w:t>
      </w:r>
    </w:p>
    <w:p w14:paraId="305822AB" w14:textId="50D6FAC8" w:rsidR="008505AA" w:rsidRDefault="00E8088F" w:rsidP="008505AA">
      <w:pPr>
        <w:pStyle w:val="Nagwek2"/>
      </w:pPr>
      <w:r>
        <w:lastRenderedPageBreak/>
        <w:t>Zasilacze 400Hz dla zasilania statków powietrznych na stanowiskach postojowych</w:t>
      </w:r>
      <w:r w:rsidR="005F5DCF">
        <w:t xml:space="preserve"> energią z sieci</w:t>
      </w:r>
      <w:r w:rsidR="000400CC">
        <w:t xml:space="preserve"> (</w:t>
      </w:r>
      <w:proofErr w:type="spellStart"/>
      <w:r w:rsidR="005F5DCF">
        <w:t>e</w:t>
      </w:r>
      <w:r w:rsidR="000400CC">
        <w:t>GPU</w:t>
      </w:r>
      <w:proofErr w:type="spellEnd"/>
      <w:r w:rsidR="000400CC">
        <w:t>)</w:t>
      </w:r>
    </w:p>
    <w:p w14:paraId="24134AEB" w14:textId="5279C475" w:rsidR="0027011C" w:rsidRDefault="0027011C" w:rsidP="00D92889">
      <w:pPr>
        <w:pStyle w:val="N-p2"/>
        <w:ind w:left="217"/>
      </w:pPr>
      <w:r>
        <w:t>Urządzenia GPU powinny być urządzeniami mobilnymi</w:t>
      </w:r>
      <w:r w:rsidR="00530F79">
        <w:t xml:space="preserve"> umożliwiającymi ich przeniesienie na inne stanowisko. W ramach postępowania należy wykonać zamontowany na wskazanych stanowiskach punkt zasilania, do którego </w:t>
      </w:r>
      <w:r w:rsidR="005F5DCF">
        <w:t>włączone</w:t>
      </w:r>
      <w:r w:rsidR="00530F79">
        <w:t xml:space="preserve"> będzie mobilne urządzenie GPU.</w:t>
      </w:r>
    </w:p>
    <w:p w14:paraId="085AEE3F" w14:textId="77777777" w:rsidR="00CB58A3" w:rsidRDefault="00CB58A3" w:rsidP="00EB3A1C">
      <w:pPr>
        <w:pStyle w:val="P-p2"/>
        <w:ind w:left="577"/>
      </w:pPr>
      <w:r>
        <w:t xml:space="preserve">18 punktów zasilania z przetwornicami 400Hz do zasilania samolotów w czasie postoju/obsługi </w:t>
      </w:r>
      <w:proofErr w:type="spellStart"/>
      <w:r>
        <w:t>handlingowej</w:t>
      </w:r>
      <w:proofErr w:type="spellEnd"/>
      <w:r>
        <w:t xml:space="preserve"> zlokalizowanych przy stanowiskach postojowych samolotów.</w:t>
      </w:r>
    </w:p>
    <w:p w14:paraId="7E6D9565" w14:textId="02E8879E" w:rsidR="00CB58A3" w:rsidRDefault="00CB58A3" w:rsidP="00EB3A1C">
      <w:pPr>
        <w:pStyle w:val="P-p2"/>
        <w:ind w:left="577"/>
      </w:pPr>
      <w:bookmarkStart w:id="8" w:name="_GoBack"/>
      <w:bookmarkEnd w:id="8"/>
      <w:r>
        <w:t>Wskazano stanowiska postojowe:</w:t>
      </w:r>
      <w:r w:rsidR="0069157D">
        <w:t xml:space="preserve"> </w:t>
      </w:r>
      <w:r>
        <w:t>8, 9, 10, 11L, 11R, 12, 13L, 13R, 14, 15, 24, 26, 27, 29, 37, 38, 39, 94</w:t>
      </w:r>
    </w:p>
    <w:p w14:paraId="4D093488" w14:textId="7667AB22" w:rsidR="00CB58A3" w:rsidRDefault="00CB58A3" w:rsidP="0047550B">
      <w:pPr>
        <w:pStyle w:val="P-p2"/>
        <w:numPr>
          <w:ilvl w:val="0"/>
          <w:numId w:val="0"/>
        </w:numPr>
        <w:ind w:left="217"/>
      </w:pPr>
      <w:r>
        <w:t>Dostarczone w ramach postępowania przetwornice 400Hz na potrzeby zasilania samolotów powinny spełniać wymagania</w:t>
      </w:r>
      <w:r w:rsidR="00462E11">
        <w:t>:</w:t>
      </w:r>
    </w:p>
    <w:p w14:paraId="727EBB20" w14:textId="64239996" w:rsidR="00462E11" w:rsidRDefault="00462E11" w:rsidP="00EB3A1C">
      <w:pPr>
        <w:pStyle w:val="P-p2"/>
        <w:numPr>
          <w:ilvl w:val="0"/>
          <w:numId w:val="0"/>
        </w:numPr>
        <w:ind w:left="-491"/>
      </w:pPr>
    </w:p>
    <w:p w14:paraId="01A2258E" w14:textId="57B81733" w:rsidR="00705130" w:rsidRDefault="00705130" w:rsidP="00EB3A1C">
      <w:pPr>
        <w:pStyle w:val="P-p2"/>
        <w:ind w:left="577"/>
      </w:pPr>
      <w:r>
        <w:t>moc znamionowa: 90kVA</w:t>
      </w:r>
    </w:p>
    <w:p w14:paraId="44875F40" w14:textId="4D1B5104" w:rsidR="00705130" w:rsidRDefault="00705130" w:rsidP="00EB3A1C">
      <w:pPr>
        <w:pStyle w:val="P-p2"/>
        <w:ind w:left="577"/>
      </w:pPr>
      <w:r>
        <w:t>napięcie wyjściowe: 3x115/200 V</w:t>
      </w:r>
    </w:p>
    <w:p w14:paraId="185DE99A" w14:textId="0EE08188" w:rsidR="00705130" w:rsidRDefault="00705130" w:rsidP="00EB3A1C">
      <w:pPr>
        <w:pStyle w:val="P-p2"/>
        <w:ind w:left="577"/>
      </w:pPr>
      <w:r>
        <w:t>częstotliwość napięcia wyjściowego: 400Hz</w:t>
      </w:r>
    </w:p>
    <w:p w14:paraId="65D78598" w14:textId="34B43FFD" w:rsidR="00705130" w:rsidRDefault="00705130" w:rsidP="00EB3A1C">
      <w:pPr>
        <w:pStyle w:val="P-p2"/>
        <w:ind w:left="577"/>
      </w:pPr>
      <w:r>
        <w:t>dokładność stab</w:t>
      </w:r>
      <w:r w:rsidR="00060B4F">
        <w:t>i</w:t>
      </w:r>
      <w:r>
        <w:t>lizacji częstotliwo</w:t>
      </w:r>
      <w:r w:rsidR="00060B4F">
        <w:t>ś</w:t>
      </w:r>
      <w:r>
        <w:t>ci:</w:t>
      </w:r>
      <w:r w:rsidR="00BA3A6B">
        <w:t xml:space="preserve"> lepsz</w:t>
      </w:r>
      <w:r w:rsidR="00293899">
        <w:t>a</w:t>
      </w:r>
      <w:r w:rsidR="00BA3A6B">
        <w:t xml:space="preserve"> niż</w:t>
      </w:r>
      <w:r w:rsidR="007E2D4C">
        <w:t xml:space="preserve"> lub równ</w:t>
      </w:r>
      <w:r w:rsidR="00293899">
        <w:t>a</w:t>
      </w:r>
      <w:r>
        <w:t xml:space="preserve"> +/- </w:t>
      </w:r>
      <w:r w:rsidR="00BA3A6B">
        <w:t>1</w:t>
      </w:r>
      <w:r>
        <w:t>%</w:t>
      </w:r>
    </w:p>
    <w:p w14:paraId="182D1175" w14:textId="2FCD082D" w:rsidR="00705130" w:rsidRDefault="004E7C81" w:rsidP="00EB3A1C">
      <w:pPr>
        <w:pStyle w:val="P-p2"/>
        <w:ind w:left="577"/>
      </w:pPr>
      <w:r>
        <w:t xml:space="preserve">sprawność urządzenia </w:t>
      </w:r>
      <w:r>
        <w:rPr>
          <w:rFonts w:cstheme="minorHAnsi"/>
        </w:rPr>
        <w:t>≥</w:t>
      </w:r>
      <w:r>
        <w:t xml:space="preserve"> 95%</w:t>
      </w:r>
    </w:p>
    <w:p w14:paraId="140364F0" w14:textId="2437DECD" w:rsidR="00705130" w:rsidRDefault="00705130" w:rsidP="00EB3A1C">
      <w:pPr>
        <w:pStyle w:val="P-p2"/>
        <w:ind w:left="577"/>
      </w:pPr>
      <w:r>
        <w:t>całkowita zawartość harmonicznych THD: &lt;2%</w:t>
      </w:r>
    </w:p>
    <w:p w14:paraId="6143FDD6" w14:textId="2882CF90" w:rsidR="00705130" w:rsidRDefault="00705130" w:rsidP="00EB3A1C">
      <w:pPr>
        <w:pStyle w:val="P-p2"/>
        <w:ind w:left="577"/>
      </w:pPr>
      <w:r>
        <w:t>zakres obciążenia dla prawidłowej pracy: 0-100%</w:t>
      </w:r>
    </w:p>
    <w:p w14:paraId="086DF2DB" w14:textId="521C55ED" w:rsidR="00705130" w:rsidRDefault="00705130" w:rsidP="00EB3A1C">
      <w:pPr>
        <w:pStyle w:val="P-p2"/>
        <w:ind w:left="577"/>
      </w:pPr>
      <w:r>
        <w:t xml:space="preserve">dopuszczalne przeciążenie: 200% </w:t>
      </w:r>
      <w:r w:rsidR="00042DEC">
        <w:rPr>
          <w:rFonts w:cstheme="minorHAnsi"/>
        </w:rPr>
        <w:t>≥</w:t>
      </w:r>
      <w:r>
        <w:t xml:space="preserve"> </w:t>
      </w:r>
      <w:r w:rsidR="007E7410">
        <w:t>3</w:t>
      </w:r>
      <w:r>
        <w:t xml:space="preserve">0s, 400% </w:t>
      </w:r>
      <w:r w:rsidR="00042DEC">
        <w:rPr>
          <w:rFonts w:cstheme="minorHAnsi"/>
        </w:rPr>
        <w:t>≥</w:t>
      </w:r>
      <w:r>
        <w:t xml:space="preserve"> </w:t>
      </w:r>
      <w:r w:rsidR="00042DEC">
        <w:t>1</w:t>
      </w:r>
      <w:r>
        <w:t>s</w:t>
      </w:r>
    </w:p>
    <w:p w14:paraId="7D0A758D" w14:textId="1642D69F" w:rsidR="00705130" w:rsidRDefault="00705130" w:rsidP="00EB3A1C">
      <w:pPr>
        <w:pStyle w:val="P-p2"/>
        <w:ind w:left="577"/>
      </w:pPr>
      <w:r>
        <w:t xml:space="preserve">prąd rozruchowy: </w:t>
      </w:r>
      <w:proofErr w:type="spellStart"/>
      <w:r>
        <w:t>soft</w:t>
      </w:r>
      <w:proofErr w:type="spellEnd"/>
      <w:r>
        <w:t xml:space="preserve"> start</w:t>
      </w:r>
    </w:p>
    <w:p w14:paraId="71C0F14F" w14:textId="04372A2B" w:rsidR="00176C72" w:rsidRDefault="00176C72" w:rsidP="00EB3A1C">
      <w:pPr>
        <w:pStyle w:val="P-p2"/>
        <w:ind w:left="577"/>
      </w:pPr>
      <w:r>
        <w:t>długość przewodu 400Hz</w:t>
      </w:r>
      <w:r w:rsidR="0090300D">
        <w:t xml:space="preserve"> - min. 20 metrów</w:t>
      </w:r>
    </w:p>
    <w:p w14:paraId="32837B9B" w14:textId="123844B2" w:rsidR="009B6FA0" w:rsidRDefault="009B6FA0" w:rsidP="00EB3A1C">
      <w:pPr>
        <w:pStyle w:val="P-p2"/>
        <w:ind w:left="577"/>
      </w:pPr>
      <w:r>
        <w:t xml:space="preserve">wyposażone w oświetlenie sygnalizacyjne wskazujące pracę / </w:t>
      </w:r>
      <w:r w:rsidR="00824717">
        <w:t>awarię</w:t>
      </w:r>
    </w:p>
    <w:p w14:paraId="5257CFD9" w14:textId="382D47B5" w:rsidR="000B4912" w:rsidRDefault="00705130" w:rsidP="00EB3A1C">
      <w:pPr>
        <w:pStyle w:val="P-p2"/>
        <w:ind w:left="577"/>
      </w:pPr>
      <w:r>
        <w:t xml:space="preserve">oraz wykazywać zgodność z normami ISO 6858:2017 (Ground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- General </w:t>
      </w:r>
      <w:proofErr w:type="spellStart"/>
      <w:r>
        <w:t>requirements</w:t>
      </w:r>
      <w:proofErr w:type="spellEnd"/>
      <w:r>
        <w:t>) oraz ISO 1540:2006 (</w:t>
      </w:r>
      <w:proofErr w:type="spellStart"/>
      <w:r>
        <w:t>Characteristic</w:t>
      </w:r>
      <w:proofErr w:type="spellEnd"/>
      <w:r>
        <w:t xml:space="preserve"> of </w:t>
      </w:r>
      <w:proofErr w:type="spellStart"/>
      <w:r>
        <w:t>aircraft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).</w:t>
      </w:r>
      <w:r w:rsidR="00C5470E">
        <w:t xml:space="preserve"> </w:t>
      </w:r>
      <w:r w:rsidR="0044126E">
        <w:t xml:space="preserve">Urządzenia powinny posiadać dokumentację potwierdzającą zgodność z normami </w:t>
      </w:r>
      <w:r w:rsidR="00AD1706">
        <w:t>wystawioną przez niezależny podmiot i dostępną na etapie składania dokumentacji przetargowej.</w:t>
      </w:r>
      <w:r w:rsidR="0044126E">
        <w:t xml:space="preserve"> </w:t>
      </w:r>
    </w:p>
    <w:p w14:paraId="30798CAD" w14:textId="0E065CF4" w:rsidR="00093011" w:rsidRPr="00E8088F" w:rsidRDefault="00093011" w:rsidP="00D92889">
      <w:pPr>
        <w:pStyle w:val="P-p2"/>
        <w:numPr>
          <w:ilvl w:val="0"/>
          <w:numId w:val="0"/>
        </w:numPr>
        <w:ind w:left="-67"/>
      </w:pPr>
      <w:r>
        <w:t xml:space="preserve">Zasilacze GPU </w:t>
      </w:r>
      <w:r w:rsidR="009A497C">
        <w:t xml:space="preserve">powinny stosować system ograniczający możliwość zniszczenia </w:t>
      </w:r>
      <w:r w:rsidR="007356FA">
        <w:t xml:space="preserve">przez inne pojazdy / osoby </w:t>
      </w:r>
      <w:r w:rsidR="009A497C">
        <w:t>przewodów w czasie korzystania z urządzenia</w:t>
      </w:r>
      <w:r w:rsidR="0091552F">
        <w:t xml:space="preserve"> – np. systemy automatycznych </w:t>
      </w:r>
      <w:proofErr w:type="spellStart"/>
      <w:r w:rsidR="0091552F">
        <w:t>zwijaków</w:t>
      </w:r>
      <w:proofErr w:type="spellEnd"/>
      <w:r w:rsidR="0091552F">
        <w:t>, konstrukcje no</w:t>
      </w:r>
      <w:r w:rsidR="0027011C">
        <w:t>śne nożycowe lub odpowiedniki.</w:t>
      </w:r>
    </w:p>
    <w:p w14:paraId="1625EACD" w14:textId="529E024C" w:rsidR="009A1256" w:rsidRDefault="009A1256" w:rsidP="009A1256">
      <w:pPr>
        <w:pStyle w:val="Nagwek2"/>
      </w:pPr>
      <w:bookmarkStart w:id="9" w:name="_Ref222396834"/>
      <w:r>
        <w:t>Rozliczanie ilości zużytej energii</w:t>
      </w:r>
      <w:bookmarkEnd w:id="9"/>
      <w:r w:rsidR="00C834E0">
        <w:t xml:space="preserve"> oraz wymagania funkcjonalne</w:t>
      </w:r>
    </w:p>
    <w:p w14:paraId="1CC29C09" w14:textId="6CB49508" w:rsidR="00A24A63" w:rsidRDefault="004B66AE" w:rsidP="006A4408">
      <w:pPr>
        <w:pStyle w:val="N-p2"/>
        <w:ind w:left="0"/>
      </w:pPr>
      <w:r>
        <w:t>Stacje ładowania</w:t>
      </w:r>
      <w:r w:rsidR="009A1256">
        <w:t xml:space="preserve">, punkty ładowania </w:t>
      </w:r>
      <w:r>
        <w:t>pojazdów</w:t>
      </w:r>
      <w:r w:rsidR="009A1256">
        <w:t xml:space="preserve"> oraz przetwornice 400Hz</w:t>
      </w:r>
      <w:r>
        <w:t xml:space="preserve"> powinny </w:t>
      </w:r>
      <w:r w:rsidR="0029049A">
        <w:t xml:space="preserve">umożliwiać rozliczanie agentów </w:t>
      </w:r>
      <w:proofErr w:type="spellStart"/>
      <w:r w:rsidR="0029049A">
        <w:t>handlingowych</w:t>
      </w:r>
      <w:proofErr w:type="spellEnd"/>
      <w:r w:rsidR="0029049A">
        <w:t xml:space="preserve"> z ilości zużytej energii elektrycznej</w:t>
      </w:r>
      <w:r w:rsidR="00166FDD">
        <w:t xml:space="preserve"> na podstawie systemu identyfikacji użytkowników. </w:t>
      </w:r>
      <w:r w:rsidR="008A07CC">
        <w:t>System powinien uniemożliwiać uruchomienie urządzenia bez identyfikacji użytkownika. Identyfikacja powinna odbywać się p</w:t>
      </w:r>
      <w:r w:rsidR="00351522">
        <w:t xml:space="preserve">oprzez łatwo skalowalny, łatwy w obsłudze system – np. karty RFID. </w:t>
      </w:r>
      <w:r w:rsidR="003955DF">
        <w:t xml:space="preserve">Karty dodane do systemu powinny mieć możliwość uruchamiania </w:t>
      </w:r>
      <w:r w:rsidR="00D242A9">
        <w:t>stacji ładowania, punktu ładowania oraz przetwornicy 400Hz. Zarządzający powinien mieć możliwość dodawania nowych kart do systemu</w:t>
      </w:r>
      <w:r w:rsidR="005F610C">
        <w:t xml:space="preserve"> bez ograniczeń ilościowych.</w:t>
      </w:r>
    </w:p>
    <w:p w14:paraId="6E6BB76D" w14:textId="77777777" w:rsidR="00D03069" w:rsidRDefault="00A775C3" w:rsidP="006A4408">
      <w:pPr>
        <w:pStyle w:val="N-p2"/>
        <w:ind w:left="0"/>
      </w:pPr>
      <w:r>
        <w:t xml:space="preserve">Monitoring zużycia energii w punktach ładowania powinien być realizowany w oparciu o układy pomiarowy umożliwiające zdalny odczyt ilości energii. Wykonawca powinien dostarczyć i uruchomić system monitoringu energii oparty o </w:t>
      </w:r>
      <w:r w:rsidR="00AE2CF1">
        <w:t>standardy, które w przyszłości będą umożliwiać rozbudowę systemu w oparciu o popularne</w:t>
      </w:r>
      <w:r w:rsidR="003A5BE8">
        <w:t xml:space="preserve"> standardy zdalnego odczytu ilości energii stosowane przez </w:t>
      </w:r>
      <w:r w:rsidR="00ED1873">
        <w:t>różnych</w:t>
      </w:r>
      <w:r w:rsidR="003A5BE8">
        <w:t xml:space="preserve"> producentów</w:t>
      </w:r>
      <w:r w:rsidR="00EE5496">
        <w:t xml:space="preserve"> (np. w oparciu o standard OMS)</w:t>
      </w:r>
      <w:r w:rsidR="00D03069">
        <w:t>.</w:t>
      </w:r>
    </w:p>
    <w:p w14:paraId="66C642A6" w14:textId="159B04C7" w:rsidR="00780B41" w:rsidRDefault="00D03069" w:rsidP="006A4408">
      <w:pPr>
        <w:pStyle w:val="N-p2"/>
        <w:ind w:left="0"/>
      </w:pPr>
      <w:r>
        <w:lastRenderedPageBreak/>
        <w:t>W przypadku, gdy w trakcie realizacji projektu system zdalnego odczytu licznik</w:t>
      </w:r>
      <w:r w:rsidR="00D52AA9">
        <w:t>ów energii elektrycznej będzie systemem istniejącym, należy rozbudować ten system.</w:t>
      </w:r>
    </w:p>
    <w:p w14:paraId="18BC821E" w14:textId="52541A02" w:rsidR="005F610C" w:rsidRDefault="005F610C" w:rsidP="006A4408">
      <w:pPr>
        <w:pStyle w:val="N-p2"/>
        <w:ind w:left="0"/>
      </w:pPr>
      <w:r>
        <w:t>System powinien działać jako całość a ilości zużytej energii, z podziałem na poszczególnych użytkowników,</w:t>
      </w:r>
      <w:r w:rsidR="00BB26B9">
        <w:t xml:space="preserve"> z wszystkich urządzeń za wskazany okres powinna być eksportowana do </w:t>
      </w:r>
      <w:r w:rsidR="002B619F">
        <w:t xml:space="preserve">łatwych w obróbce plików danych (np. </w:t>
      </w:r>
      <w:r w:rsidR="00D24594">
        <w:t>.</w:t>
      </w:r>
      <w:proofErr w:type="spellStart"/>
      <w:r w:rsidR="00D24594">
        <w:t>xlsx</w:t>
      </w:r>
      <w:proofErr w:type="spellEnd"/>
      <w:r w:rsidR="00D24594">
        <w:t xml:space="preserve">, </w:t>
      </w:r>
      <w:r w:rsidR="002B619F">
        <w:t>.</w:t>
      </w:r>
      <w:proofErr w:type="spellStart"/>
      <w:r w:rsidR="002B619F">
        <w:t>csv</w:t>
      </w:r>
      <w:proofErr w:type="spellEnd"/>
      <w:r w:rsidR="002B619F">
        <w:t>).</w:t>
      </w:r>
    </w:p>
    <w:p w14:paraId="17DD73C7" w14:textId="2DC58512" w:rsidR="00F41D25" w:rsidRDefault="0047423C" w:rsidP="0047423C">
      <w:pPr>
        <w:pStyle w:val="Nagwek1"/>
      </w:pPr>
      <w:r>
        <w:t>Pozostałe wymagania</w:t>
      </w:r>
    </w:p>
    <w:p w14:paraId="6CA85CCB" w14:textId="77777777" w:rsidR="005F15D8" w:rsidRPr="005F15D8" w:rsidRDefault="005F15D8" w:rsidP="005F15D8">
      <w:pPr>
        <w:pStyle w:val="Akapitzlist"/>
        <w:keepNext/>
        <w:keepLines/>
        <w:numPr>
          <w:ilvl w:val="0"/>
          <w:numId w:val="7"/>
        </w:numPr>
        <w:spacing w:before="8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</w:rPr>
      </w:pPr>
    </w:p>
    <w:p w14:paraId="0D8ECE52" w14:textId="019EBB17" w:rsidR="0047423C" w:rsidRDefault="005F15D8" w:rsidP="005F15D8">
      <w:pPr>
        <w:pStyle w:val="Nagwek2"/>
      </w:pPr>
      <w:r>
        <w:t>Zagospodarowanie terenu</w:t>
      </w:r>
    </w:p>
    <w:p w14:paraId="6DB0D756" w14:textId="544FF497" w:rsidR="00DD25ED" w:rsidRDefault="00A53087" w:rsidP="008A75EC">
      <w:pPr>
        <w:pStyle w:val="P-p2"/>
      </w:pPr>
      <w:r>
        <w:t>Teren wokół zainstalowanych urządzeń, stacji powinien być utwardzony</w:t>
      </w:r>
      <w:r w:rsidR="00965C87">
        <w:t xml:space="preserve"> i oświetlony</w:t>
      </w:r>
    </w:p>
    <w:p w14:paraId="417C08B1" w14:textId="6AB05DCC" w:rsidR="005F15D8" w:rsidRDefault="00250D3B" w:rsidP="008A75EC">
      <w:pPr>
        <w:pStyle w:val="P-p2"/>
      </w:pPr>
      <w:r>
        <w:t xml:space="preserve">Miejsca ładowania pojazdów powinny być oznaczone zgodnie z obowiązującymi przepisami, rozporządzeniami oraz normami. </w:t>
      </w:r>
      <w:r w:rsidR="004B772D">
        <w:t xml:space="preserve">Wszystkie miejsca ładowania pojazdów powinny być oznaczone znakami </w:t>
      </w:r>
      <w:r w:rsidR="004B772D" w:rsidRPr="001E2467">
        <w:t>pionowymi D-23c</w:t>
      </w:r>
      <w:r w:rsidR="00DA7B59" w:rsidRPr="001E2467">
        <w:t xml:space="preserve"> oraz</w:t>
      </w:r>
      <w:r w:rsidR="00DA7B59">
        <w:t xml:space="preserve"> oznakowanie poziomym w formie koperty z oznaczeniem EV – zgodnie z</w:t>
      </w:r>
      <w:r w:rsidR="005138BE">
        <w:t xml:space="preserve"> Prawem o ruchu drogowym oraz </w:t>
      </w:r>
      <w:r w:rsidR="005138BE" w:rsidRPr="00367555">
        <w:t>R</w:t>
      </w:r>
      <w:r w:rsidR="00DA7B59" w:rsidRPr="00367555">
        <w:t>ozporządzeniem Ministra Infrastruktury</w:t>
      </w:r>
      <w:r w:rsidR="00420FB8" w:rsidRPr="00367555">
        <w:t xml:space="preserve"> z dnia 12 października 2021</w:t>
      </w:r>
      <w:r w:rsidR="00420FB8">
        <w:t xml:space="preserve"> w sprawie </w:t>
      </w:r>
      <w:r w:rsidR="00420FB8" w:rsidRPr="00420FB8">
        <w:t>szczegółowych warunków technicznych dla znaków i sygnałów drogowych oraz urządzeń bezpieczeństwa ruchu drogowego i</w:t>
      </w:r>
      <w:r w:rsidR="00420FB8">
        <w:t> </w:t>
      </w:r>
      <w:r w:rsidR="00420FB8" w:rsidRPr="00420FB8">
        <w:t>warunków ich umieszczania na drogach</w:t>
      </w:r>
      <w:r w:rsidR="00C16A61">
        <w:t xml:space="preserve"> wraz z późniejszymi zmianami. Oznakowanie powinno być trwałe</w:t>
      </w:r>
      <w:r w:rsidR="00893861">
        <w:t>, czytelne, o</w:t>
      </w:r>
      <w:r w:rsidR="00DA4F89">
        <w:t>dporne na warunki atmosferyczne oraz wykonane w sposób zapewniający jednoznaczną identyfikację przeznaczenia stanowiska.</w:t>
      </w:r>
    </w:p>
    <w:p w14:paraId="3EBD76F1" w14:textId="530ADF42" w:rsidR="007B3E5F" w:rsidRDefault="00420FB8" w:rsidP="008A75EC">
      <w:pPr>
        <w:pStyle w:val="P-p2"/>
      </w:pPr>
      <w:r>
        <w:t xml:space="preserve">Wszelkie urządzenia zamontowane w pobliżu miejsc postoju przeznaczonych do ładowania powinny być zabezpieczone </w:t>
      </w:r>
      <w:r w:rsidR="00DD221B">
        <w:t xml:space="preserve">przed uszkodzeniami mechanicznymi </w:t>
      </w:r>
      <w:r w:rsidR="00805558">
        <w:t>wynikającymi z najechania pojazdu, uderzenia, manewrowania lub nieprawidłowego parkowania</w:t>
      </w:r>
      <w:r w:rsidR="00954BD4">
        <w:t xml:space="preserve"> z wykorzystaniem odbojników (słupków ochronnych). </w:t>
      </w:r>
      <w:r w:rsidR="000E0A31">
        <w:t>Zabezpieczenia powinny</w:t>
      </w:r>
      <w:r w:rsidR="007B3E5F">
        <w:t>:</w:t>
      </w:r>
    </w:p>
    <w:p w14:paraId="22241A2F" w14:textId="4D2DD104" w:rsidR="007B7E35" w:rsidRDefault="007B7E35" w:rsidP="008A75EC">
      <w:pPr>
        <w:pStyle w:val="P-p2"/>
      </w:pPr>
      <w:r>
        <w:t xml:space="preserve">być </w:t>
      </w:r>
      <w:r w:rsidR="000E0A31">
        <w:t>zainstalowane w sposób nieutrudniający dostępu do urządzeń</w:t>
      </w:r>
    </w:p>
    <w:p w14:paraId="66051B85" w14:textId="77777777" w:rsidR="007B7E35" w:rsidRDefault="007B7E35" w:rsidP="008A75EC">
      <w:pPr>
        <w:pStyle w:val="P-p2"/>
      </w:pPr>
      <w:r>
        <w:t>umożliwiać</w:t>
      </w:r>
      <w:r w:rsidR="000E0A31">
        <w:t xml:space="preserve"> swobodne podłączanie pojazdów</w:t>
      </w:r>
    </w:p>
    <w:p w14:paraId="1D1DC3FD" w14:textId="77777777" w:rsidR="007B7E35" w:rsidRDefault="007B7E35" w:rsidP="008A75EC">
      <w:pPr>
        <w:pStyle w:val="P-p2"/>
      </w:pPr>
      <w:r>
        <w:t>zapewniać</w:t>
      </w:r>
      <w:r w:rsidR="003D7452">
        <w:t xml:space="preserve"> dostęp serwisowy</w:t>
      </w:r>
    </w:p>
    <w:p w14:paraId="7CDEB875" w14:textId="2CCA17C0" w:rsidR="005F15D8" w:rsidRDefault="003D7452" w:rsidP="008A75EC">
      <w:pPr>
        <w:pStyle w:val="P-p2"/>
      </w:pPr>
      <w:r>
        <w:t>być odporne na korozję i warunki atmosferyczn</w:t>
      </w:r>
      <w:r w:rsidR="007B7E35">
        <w:t>e</w:t>
      </w:r>
    </w:p>
    <w:p w14:paraId="0D65A5D7" w14:textId="30D77B71" w:rsidR="007B7E35" w:rsidRDefault="00D244EF" w:rsidP="008A75EC">
      <w:pPr>
        <w:pStyle w:val="P-p2"/>
      </w:pPr>
      <w:r>
        <w:t>być odporne na uszkodzenia mechaniczne wynikające z najechania pojazdu o masie powyżej 3,5t</w:t>
      </w:r>
    </w:p>
    <w:p w14:paraId="1DF3AE38" w14:textId="77130D9F" w:rsidR="005F15D8" w:rsidRDefault="0024165C" w:rsidP="008A75EC">
      <w:pPr>
        <w:pStyle w:val="P-p2"/>
      </w:pPr>
      <w:r>
        <w:t xml:space="preserve">Stanowiska przeznaczone do ładowania pojazdów powinny zostać oświetlone w </w:t>
      </w:r>
      <w:r w:rsidR="00B81261">
        <w:t>sposób zapewniający bezpieczne i komfortowe użytkowanie infrastruktury w porze nocnej. Natężenie oświetlenia</w:t>
      </w:r>
      <w:r w:rsidR="00517B22">
        <w:t xml:space="preserve"> powinno być nie mniejsze niż 20lx</w:t>
      </w:r>
      <w:r w:rsidR="002B3C8B">
        <w:t xml:space="preserve"> zgodnie z wymaganiami norm PN-EN 12464-2</w:t>
      </w:r>
      <w:r w:rsidR="00B808FA">
        <w:t xml:space="preserve"> (</w:t>
      </w:r>
      <w:r w:rsidR="00B808FA" w:rsidRPr="00B808FA">
        <w:t xml:space="preserve">Światło i oświetlenie -- </w:t>
      </w:r>
      <w:proofErr w:type="spellStart"/>
      <w:r w:rsidR="00B808FA" w:rsidRPr="00B808FA">
        <w:t>Oświetlenie</w:t>
      </w:r>
      <w:proofErr w:type="spellEnd"/>
      <w:r w:rsidR="00B808FA" w:rsidRPr="00B808FA">
        <w:t xml:space="preserve"> miejsc pracy -- Część 2: Miejsca pracy na zewnątrz</w:t>
      </w:r>
      <w:r w:rsidR="00B808FA">
        <w:t>)</w:t>
      </w:r>
      <w:r w:rsidR="002D0BBF">
        <w:t>. Należy stosować oprawy ze źródłami światła typu LED o stopniu och</w:t>
      </w:r>
      <w:r w:rsidR="00367555">
        <w:t>ro</w:t>
      </w:r>
      <w:r w:rsidR="002D0BBF">
        <w:t>ny min. IP65</w:t>
      </w:r>
      <w:r w:rsidR="00910EA2">
        <w:t xml:space="preserve"> oraz powinno być sterowane za pomocą zegarów astronomicznych uwzględniających zmianę godziny zachodu słońca w ciągu roku.</w:t>
      </w:r>
    </w:p>
    <w:p w14:paraId="3929AD0F" w14:textId="12E31D29" w:rsidR="00D70F9F" w:rsidRDefault="00D70F9F" w:rsidP="00D70F9F">
      <w:pPr>
        <w:pStyle w:val="Nagwek2"/>
      </w:pPr>
      <w:r>
        <w:t>Wymaganie prawne</w:t>
      </w:r>
    </w:p>
    <w:p w14:paraId="2DE27048" w14:textId="5B4FE322" w:rsidR="00D70F9F" w:rsidRPr="00720734" w:rsidRDefault="00720734" w:rsidP="008A75EC">
      <w:pPr>
        <w:pStyle w:val="P-p2"/>
      </w:pPr>
      <w:r>
        <w:t xml:space="preserve">Obowiązkiem wykonawcy będzie </w:t>
      </w:r>
      <w:r w:rsidR="002577CB" w:rsidRPr="002577CB">
        <w:t>uzyskanie w imieniu i na rzecz Zamawiającego wymaganych przepisami prawa sprawdzeń, uzgodnień i opinii, a także pozwoleń, decyzji i innych niezbędnych dokumentów</w:t>
      </w:r>
      <w:r w:rsidR="00A40049" w:rsidRPr="00720734">
        <w:t xml:space="preserve"> </w:t>
      </w:r>
      <w:r w:rsidR="002577CB">
        <w:t xml:space="preserve">niezbędnych do </w:t>
      </w:r>
      <w:r w:rsidR="00A40049" w:rsidRPr="00720734">
        <w:t>prawidłowej</w:t>
      </w:r>
      <w:r>
        <w:t xml:space="preserve"> </w:t>
      </w:r>
      <w:r w:rsidR="00A40049" w:rsidRPr="00720734">
        <w:t>eksploatacji urządzeń</w:t>
      </w:r>
      <w:r w:rsidR="002577CB">
        <w:t>.</w:t>
      </w:r>
    </w:p>
    <w:p w14:paraId="6CFCB3DA" w14:textId="77777777" w:rsidR="00895747" w:rsidRPr="00895747" w:rsidRDefault="00895747" w:rsidP="00895747">
      <w:pPr>
        <w:pStyle w:val="Akapitzlist"/>
        <w:rPr>
          <w:rStyle w:val="Uwydatnienie"/>
          <w:i w:val="0"/>
          <w:iCs w:val="0"/>
        </w:rPr>
      </w:pPr>
    </w:p>
    <w:sectPr w:rsidR="00895747" w:rsidRPr="0089574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E8DF4" w14:textId="77777777" w:rsidR="0024621E" w:rsidRDefault="0024621E" w:rsidP="00B872A3">
      <w:pPr>
        <w:spacing w:after="0" w:line="240" w:lineRule="auto"/>
      </w:pPr>
      <w:r>
        <w:separator/>
      </w:r>
    </w:p>
  </w:endnote>
  <w:endnote w:type="continuationSeparator" w:id="0">
    <w:p w14:paraId="0B182AA1" w14:textId="77777777" w:rsidR="0024621E" w:rsidRDefault="0024621E" w:rsidP="00B872A3">
      <w:pPr>
        <w:spacing w:after="0" w:line="240" w:lineRule="auto"/>
      </w:pPr>
      <w:r>
        <w:continuationSeparator/>
      </w:r>
    </w:p>
  </w:endnote>
  <w:endnote w:type="continuationNotice" w:id="1">
    <w:p w14:paraId="51D6D6CA" w14:textId="77777777" w:rsidR="0024621E" w:rsidRDefault="00246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3937572"/>
      <w:docPartObj>
        <w:docPartGallery w:val="Page Numbers (Bottom of Page)"/>
        <w:docPartUnique/>
      </w:docPartObj>
    </w:sdtPr>
    <w:sdtEndPr/>
    <w:sdtContent>
      <w:p w14:paraId="6698051C" w14:textId="6B916CDA" w:rsidR="00B872A3" w:rsidRDefault="00B872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50B">
          <w:rPr>
            <w:noProof/>
          </w:rPr>
          <w:t>6</w:t>
        </w:r>
        <w:r>
          <w:fldChar w:fldCharType="end"/>
        </w:r>
      </w:p>
    </w:sdtContent>
  </w:sdt>
  <w:p w14:paraId="6E4C7B88" w14:textId="77777777" w:rsidR="00B872A3" w:rsidRDefault="00B87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79773" w14:textId="77777777" w:rsidR="0024621E" w:rsidRDefault="0024621E" w:rsidP="00B872A3">
      <w:pPr>
        <w:spacing w:after="0" w:line="240" w:lineRule="auto"/>
      </w:pPr>
      <w:r>
        <w:separator/>
      </w:r>
    </w:p>
  </w:footnote>
  <w:footnote w:type="continuationSeparator" w:id="0">
    <w:p w14:paraId="020C435D" w14:textId="77777777" w:rsidR="0024621E" w:rsidRDefault="0024621E" w:rsidP="00B872A3">
      <w:pPr>
        <w:spacing w:after="0" w:line="240" w:lineRule="auto"/>
      </w:pPr>
      <w:r>
        <w:continuationSeparator/>
      </w:r>
    </w:p>
  </w:footnote>
  <w:footnote w:type="continuationNotice" w:id="1">
    <w:p w14:paraId="0C36433A" w14:textId="77777777" w:rsidR="0024621E" w:rsidRDefault="002462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6ECAF" w14:textId="765DC14E" w:rsidR="00744EA8" w:rsidRDefault="00E27A8F">
    <w:pPr>
      <w:pStyle w:val="Nagwek"/>
    </w:pPr>
    <w:bookmarkStart w:id="10" w:name="_Hlk227915606"/>
    <w:r w:rsidRPr="001025C4">
      <w:rPr>
        <w:rFonts w:ascii="Aptos" w:eastAsia="Aptos" w:hAnsi="Aptos" w:cs="Arial"/>
        <w:noProof/>
        <w:lang w:eastAsia="pl-PL"/>
      </w:rPr>
      <w:drawing>
        <wp:inline distT="0" distB="0" distL="0" distR="0" wp14:anchorId="05CDD389" wp14:editId="26DB4016">
          <wp:extent cx="5760720" cy="6521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CC0"/>
    <w:multiLevelType w:val="hybridMultilevel"/>
    <w:tmpl w:val="67826D08"/>
    <w:lvl w:ilvl="0" w:tplc="4DF28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7C16"/>
    <w:multiLevelType w:val="hybridMultilevel"/>
    <w:tmpl w:val="1574676E"/>
    <w:lvl w:ilvl="0" w:tplc="6726A834">
      <w:start w:val="1"/>
      <w:numFmt w:val="bullet"/>
      <w:pStyle w:val="P-p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D59D5"/>
    <w:multiLevelType w:val="hybridMultilevel"/>
    <w:tmpl w:val="F26473A8"/>
    <w:lvl w:ilvl="0" w:tplc="869445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AFA"/>
    <w:multiLevelType w:val="hybridMultilevel"/>
    <w:tmpl w:val="25660BEA"/>
    <w:lvl w:ilvl="0" w:tplc="91CCB46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10C343DA"/>
    <w:multiLevelType w:val="hybridMultilevel"/>
    <w:tmpl w:val="7ADCD23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5966044"/>
    <w:multiLevelType w:val="hybridMultilevel"/>
    <w:tmpl w:val="CBF8766A"/>
    <w:lvl w:ilvl="0" w:tplc="4DF28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95DD9"/>
    <w:multiLevelType w:val="hybridMultilevel"/>
    <w:tmpl w:val="2B9E9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87FA3"/>
    <w:multiLevelType w:val="hybridMultilevel"/>
    <w:tmpl w:val="AFB2EE20"/>
    <w:lvl w:ilvl="0" w:tplc="4DF28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107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A94D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4D4131"/>
    <w:multiLevelType w:val="multilevel"/>
    <w:tmpl w:val="FFEA7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FC4627"/>
    <w:multiLevelType w:val="multilevel"/>
    <w:tmpl w:val="7BF03CCA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DA0F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9D5A84"/>
    <w:multiLevelType w:val="hybridMultilevel"/>
    <w:tmpl w:val="464EAAE8"/>
    <w:lvl w:ilvl="0" w:tplc="1646E35A">
      <w:start w:val="1"/>
      <w:numFmt w:val="bullet"/>
      <w:pStyle w:val="P-p2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4B2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9C7F5E"/>
    <w:multiLevelType w:val="hybridMultilevel"/>
    <w:tmpl w:val="3E8025C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71C43E0A"/>
    <w:multiLevelType w:val="hybridMultilevel"/>
    <w:tmpl w:val="848C6968"/>
    <w:lvl w:ilvl="0" w:tplc="4DF28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3"/>
  </w:num>
  <w:num w:numId="5">
    <w:abstractNumId w:val="14"/>
  </w:num>
  <w:num w:numId="6">
    <w:abstractNumId w:val="8"/>
  </w:num>
  <w:num w:numId="7">
    <w:abstractNumId w:val="10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16"/>
  </w:num>
  <w:num w:numId="13">
    <w:abstractNumId w:val="6"/>
  </w:num>
  <w:num w:numId="14">
    <w:abstractNumId w:val="13"/>
  </w:num>
  <w:num w:numId="15">
    <w:abstractNumId w:val="7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7"/>
    <w:rsid w:val="000024BF"/>
    <w:rsid w:val="00003DCD"/>
    <w:rsid w:val="000059D4"/>
    <w:rsid w:val="0002121E"/>
    <w:rsid w:val="000400CC"/>
    <w:rsid w:val="00042DEC"/>
    <w:rsid w:val="00047510"/>
    <w:rsid w:val="000531DD"/>
    <w:rsid w:val="00060B4F"/>
    <w:rsid w:val="00065652"/>
    <w:rsid w:val="00071B53"/>
    <w:rsid w:val="00071D2B"/>
    <w:rsid w:val="00093011"/>
    <w:rsid w:val="000B4912"/>
    <w:rsid w:val="000B5215"/>
    <w:rsid w:val="000D1C0D"/>
    <w:rsid w:val="000D1D57"/>
    <w:rsid w:val="000D6437"/>
    <w:rsid w:val="000E0A31"/>
    <w:rsid w:val="000E48CC"/>
    <w:rsid w:val="000F0C58"/>
    <w:rsid w:val="00123BF0"/>
    <w:rsid w:val="001255FB"/>
    <w:rsid w:val="00135B7D"/>
    <w:rsid w:val="0015348D"/>
    <w:rsid w:val="00156266"/>
    <w:rsid w:val="00166FDD"/>
    <w:rsid w:val="00176C72"/>
    <w:rsid w:val="00180AB9"/>
    <w:rsid w:val="00186853"/>
    <w:rsid w:val="001B2A41"/>
    <w:rsid w:val="001C2CB5"/>
    <w:rsid w:val="001D15DE"/>
    <w:rsid w:val="001D539D"/>
    <w:rsid w:val="001E2467"/>
    <w:rsid w:val="001E3FF7"/>
    <w:rsid w:val="001F00DA"/>
    <w:rsid w:val="001F08DA"/>
    <w:rsid w:val="001F0C33"/>
    <w:rsid w:val="002072FF"/>
    <w:rsid w:val="0024165C"/>
    <w:rsid w:val="0024621E"/>
    <w:rsid w:val="00250D3B"/>
    <w:rsid w:val="00252C15"/>
    <w:rsid w:val="002533C0"/>
    <w:rsid w:val="00256FD6"/>
    <w:rsid w:val="0025768C"/>
    <w:rsid w:val="002577CB"/>
    <w:rsid w:val="00261440"/>
    <w:rsid w:val="0027011C"/>
    <w:rsid w:val="00271DAC"/>
    <w:rsid w:val="002805D5"/>
    <w:rsid w:val="0029049A"/>
    <w:rsid w:val="002904F0"/>
    <w:rsid w:val="002905D8"/>
    <w:rsid w:val="00293899"/>
    <w:rsid w:val="00294708"/>
    <w:rsid w:val="002A7380"/>
    <w:rsid w:val="002B232B"/>
    <w:rsid w:val="002B3C8B"/>
    <w:rsid w:val="002B619F"/>
    <w:rsid w:val="002C420A"/>
    <w:rsid w:val="002D0BBF"/>
    <w:rsid w:val="002D429C"/>
    <w:rsid w:val="00351522"/>
    <w:rsid w:val="00355237"/>
    <w:rsid w:val="0035634D"/>
    <w:rsid w:val="00367555"/>
    <w:rsid w:val="00370D56"/>
    <w:rsid w:val="0038653E"/>
    <w:rsid w:val="0039203B"/>
    <w:rsid w:val="003955DF"/>
    <w:rsid w:val="003A5BE8"/>
    <w:rsid w:val="003B7DC5"/>
    <w:rsid w:val="003C01E4"/>
    <w:rsid w:val="003D3221"/>
    <w:rsid w:val="003D7452"/>
    <w:rsid w:val="003F74C1"/>
    <w:rsid w:val="004048F1"/>
    <w:rsid w:val="00413731"/>
    <w:rsid w:val="004148B7"/>
    <w:rsid w:val="00420FB8"/>
    <w:rsid w:val="00437DB9"/>
    <w:rsid w:val="0044126E"/>
    <w:rsid w:val="0046282A"/>
    <w:rsid w:val="00462E11"/>
    <w:rsid w:val="0046509E"/>
    <w:rsid w:val="004739E7"/>
    <w:rsid w:val="0047423C"/>
    <w:rsid w:val="0047550B"/>
    <w:rsid w:val="00477C78"/>
    <w:rsid w:val="004B66AE"/>
    <w:rsid w:val="004B772D"/>
    <w:rsid w:val="004D4A78"/>
    <w:rsid w:val="004E7C81"/>
    <w:rsid w:val="004F2859"/>
    <w:rsid w:val="004F3F1D"/>
    <w:rsid w:val="00513635"/>
    <w:rsid w:val="005138BE"/>
    <w:rsid w:val="00517B22"/>
    <w:rsid w:val="00520754"/>
    <w:rsid w:val="00530F79"/>
    <w:rsid w:val="00534F86"/>
    <w:rsid w:val="00535D68"/>
    <w:rsid w:val="00554ABC"/>
    <w:rsid w:val="00556C95"/>
    <w:rsid w:val="00560EBC"/>
    <w:rsid w:val="0056189F"/>
    <w:rsid w:val="005653B1"/>
    <w:rsid w:val="005665C0"/>
    <w:rsid w:val="005813EE"/>
    <w:rsid w:val="005A5169"/>
    <w:rsid w:val="005A783C"/>
    <w:rsid w:val="005C367E"/>
    <w:rsid w:val="005D37D0"/>
    <w:rsid w:val="005F15D8"/>
    <w:rsid w:val="005F34E2"/>
    <w:rsid w:val="005F5DCF"/>
    <w:rsid w:val="005F610C"/>
    <w:rsid w:val="005F6D01"/>
    <w:rsid w:val="006328BF"/>
    <w:rsid w:val="00655A18"/>
    <w:rsid w:val="006574C6"/>
    <w:rsid w:val="00657A69"/>
    <w:rsid w:val="0066397C"/>
    <w:rsid w:val="0069157D"/>
    <w:rsid w:val="006A3802"/>
    <w:rsid w:val="006A4408"/>
    <w:rsid w:val="006C22C1"/>
    <w:rsid w:val="006C2C19"/>
    <w:rsid w:val="006D67DE"/>
    <w:rsid w:val="006F5D4E"/>
    <w:rsid w:val="006F628A"/>
    <w:rsid w:val="0070494A"/>
    <w:rsid w:val="00705130"/>
    <w:rsid w:val="00720734"/>
    <w:rsid w:val="007356FA"/>
    <w:rsid w:val="0074052A"/>
    <w:rsid w:val="00744EA8"/>
    <w:rsid w:val="007574BC"/>
    <w:rsid w:val="007617A1"/>
    <w:rsid w:val="007808CC"/>
    <w:rsid w:val="00780B41"/>
    <w:rsid w:val="007816D2"/>
    <w:rsid w:val="007849B9"/>
    <w:rsid w:val="00785CF3"/>
    <w:rsid w:val="007A6DAC"/>
    <w:rsid w:val="007A7549"/>
    <w:rsid w:val="007B2416"/>
    <w:rsid w:val="007B3E5F"/>
    <w:rsid w:val="007B7E35"/>
    <w:rsid w:val="007C2C09"/>
    <w:rsid w:val="007E2D4C"/>
    <w:rsid w:val="007E7410"/>
    <w:rsid w:val="007F4CF8"/>
    <w:rsid w:val="00803A66"/>
    <w:rsid w:val="00805558"/>
    <w:rsid w:val="008207C9"/>
    <w:rsid w:val="00822AD2"/>
    <w:rsid w:val="00824717"/>
    <w:rsid w:val="00836CD2"/>
    <w:rsid w:val="008505AA"/>
    <w:rsid w:val="0086385F"/>
    <w:rsid w:val="00865802"/>
    <w:rsid w:val="008732B6"/>
    <w:rsid w:val="0087443E"/>
    <w:rsid w:val="0089130B"/>
    <w:rsid w:val="00893861"/>
    <w:rsid w:val="00895747"/>
    <w:rsid w:val="008A07CC"/>
    <w:rsid w:val="008A6C19"/>
    <w:rsid w:val="008A75EC"/>
    <w:rsid w:val="008A7E4B"/>
    <w:rsid w:val="008E7E92"/>
    <w:rsid w:val="00902087"/>
    <w:rsid w:val="0090300D"/>
    <w:rsid w:val="00903277"/>
    <w:rsid w:val="00910EA2"/>
    <w:rsid w:val="0091552F"/>
    <w:rsid w:val="00920883"/>
    <w:rsid w:val="0095259F"/>
    <w:rsid w:val="00954BD4"/>
    <w:rsid w:val="00965C87"/>
    <w:rsid w:val="0097129F"/>
    <w:rsid w:val="009779FA"/>
    <w:rsid w:val="00995891"/>
    <w:rsid w:val="009A1256"/>
    <w:rsid w:val="009A497C"/>
    <w:rsid w:val="009A781D"/>
    <w:rsid w:val="009B6718"/>
    <w:rsid w:val="009B6FA0"/>
    <w:rsid w:val="009D674B"/>
    <w:rsid w:val="009F10D3"/>
    <w:rsid w:val="009F40BF"/>
    <w:rsid w:val="00A032C8"/>
    <w:rsid w:val="00A03E22"/>
    <w:rsid w:val="00A24A63"/>
    <w:rsid w:val="00A40049"/>
    <w:rsid w:val="00A42206"/>
    <w:rsid w:val="00A44BD7"/>
    <w:rsid w:val="00A53087"/>
    <w:rsid w:val="00A60668"/>
    <w:rsid w:val="00A61FBB"/>
    <w:rsid w:val="00A64B2B"/>
    <w:rsid w:val="00A775C3"/>
    <w:rsid w:val="00A8411C"/>
    <w:rsid w:val="00A85516"/>
    <w:rsid w:val="00A914AA"/>
    <w:rsid w:val="00A9345D"/>
    <w:rsid w:val="00AA1658"/>
    <w:rsid w:val="00AA39E2"/>
    <w:rsid w:val="00AA7167"/>
    <w:rsid w:val="00AC4FD4"/>
    <w:rsid w:val="00AD0CCC"/>
    <w:rsid w:val="00AD1706"/>
    <w:rsid w:val="00AD517B"/>
    <w:rsid w:val="00AE2CF1"/>
    <w:rsid w:val="00AE7731"/>
    <w:rsid w:val="00AF62F9"/>
    <w:rsid w:val="00B01D17"/>
    <w:rsid w:val="00B22A7A"/>
    <w:rsid w:val="00B369DD"/>
    <w:rsid w:val="00B42609"/>
    <w:rsid w:val="00B47F44"/>
    <w:rsid w:val="00B6045A"/>
    <w:rsid w:val="00B808FA"/>
    <w:rsid w:val="00B81261"/>
    <w:rsid w:val="00B872A3"/>
    <w:rsid w:val="00BA3A6B"/>
    <w:rsid w:val="00BB26B9"/>
    <w:rsid w:val="00BC4672"/>
    <w:rsid w:val="00BD0F09"/>
    <w:rsid w:val="00C03223"/>
    <w:rsid w:val="00C12DEC"/>
    <w:rsid w:val="00C16A61"/>
    <w:rsid w:val="00C25564"/>
    <w:rsid w:val="00C26E5B"/>
    <w:rsid w:val="00C34B2A"/>
    <w:rsid w:val="00C40084"/>
    <w:rsid w:val="00C5470E"/>
    <w:rsid w:val="00C57740"/>
    <w:rsid w:val="00C67D46"/>
    <w:rsid w:val="00C834E0"/>
    <w:rsid w:val="00C94831"/>
    <w:rsid w:val="00CA68B4"/>
    <w:rsid w:val="00CB58A3"/>
    <w:rsid w:val="00CD0857"/>
    <w:rsid w:val="00CD09D9"/>
    <w:rsid w:val="00CF18F5"/>
    <w:rsid w:val="00CF5D1A"/>
    <w:rsid w:val="00D03069"/>
    <w:rsid w:val="00D13C37"/>
    <w:rsid w:val="00D177D6"/>
    <w:rsid w:val="00D242A9"/>
    <w:rsid w:val="00D244EF"/>
    <w:rsid w:val="00D24594"/>
    <w:rsid w:val="00D34E76"/>
    <w:rsid w:val="00D37DE0"/>
    <w:rsid w:val="00D40CED"/>
    <w:rsid w:val="00D52AA9"/>
    <w:rsid w:val="00D61C22"/>
    <w:rsid w:val="00D65B55"/>
    <w:rsid w:val="00D6750D"/>
    <w:rsid w:val="00D70F9F"/>
    <w:rsid w:val="00D72695"/>
    <w:rsid w:val="00D748E4"/>
    <w:rsid w:val="00D813C5"/>
    <w:rsid w:val="00D8511E"/>
    <w:rsid w:val="00D92889"/>
    <w:rsid w:val="00DA4F89"/>
    <w:rsid w:val="00DA7B59"/>
    <w:rsid w:val="00DB1CED"/>
    <w:rsid w:val="00DD221B"/>
    <w:rsid w:val="00DD25ED"/>
    <w:rsid w:val="00DE6C1B"/>
    <w:rsid w:val="00DF2DFC"/>
    <w:rsid w:val="00DF5591"/>
    <w:rsid w:val="00E27A8F"/>
    <w:rsid w:val="00E35EE7"/>
    <w:rsid w:val="00E4284D"/>
    <w:rsid w:val="00E52A9B"/>
    <w:rsid w:val="00E66B00"/>
    <w:rsid w:val="00E752F1"/>
    <w:rsid w:val="00E75759"/>
    <w:rsid w:val="00E8088F"/>
    <w:rsid w:val="00EB30EF"/>
    <w:rsid w:val="00EB3A1C"/>
    <w:rsid w:val="00EC765D"/>
    <w:rsid w:val="00ED1873"/>
    <w:rsid w:val="00ED5EF3"/>
    <w:rsid w:val="00EE0A22"/>
    <w:rsid w:val="00EE5496"/>
    <w:rsid w:val="00EF6231"/>
    <w:rsid w:val="00F020B5"/>
    <w:rsid w:val="00F17241"/>
    <w:rsid w:val="00F20B1D"/>
    <w:rsid w:val="00F36077"/>
    <w:rsid w:val="00F40800"/>
    <w:rsid w:val="00F41D25"/>
    <w:rsid w:val="00F5210D"/>
    <w:rsid w:val="00FB7812"/>
    <w:rsid w:val="00FD361A"/>
    <w:rsid w:val="00FE4056"/>
    <w:rsid w:val="00FE536F"/>
    <w:rsid w:val="00FE68DF"/>
    <w:rsid w:val="00FF1FA5"/>
    <w:rsid w:val="0B8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51BA"/>
  <w15:chartTrackingRefBased/>
  <w15:docId w15:val="{19ED0E1A-31EF-4AEE-B679-580E7B19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47"/>
    <w:pPr>
      <w:jc w:val="both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C22"/>
    <w:pPr>
      <w:keepNext/>
      <w:keepLines/>
      <w:numPr>
        <w:numId w:val="1"/>
      </w:numPr>
      <w:spacing w:before="240" w:after="0"/>
      <w:ind w:left="425" w:hanging="425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C22"/>
    <w:pPr>
      <w:keepNext/>
      <w:keepLines/>
      <w:numPr>
        <w:ilvl w:val="1"/>
        <w:numId w:val="7"/>
      </w:numPr>
      <w:spacing w:before="80" w:after="0"/>
      <w:ind w:left="992" w:hanging="567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95747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747"/>
    <w:rPr>
      <w:rFonts w:eastAsiaTheme="majorEastAsia" w:cstheme="majorBidi"/>
      <w:b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440"/>
    <w:pPr>
      <w:numPr>
        <w:ilvl w:val="1"/>
      </w:numPr>
      <w:spacing w:after="360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440"/>
    <w:rPr>
      <w:rFonts w:eastAsiaTheme="minorEastAsia"/>
      <w:color w:val="5A5A5A" w:themeColor="text1" w:themeTint="A5"/>
      <w:spacing w:val="15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89574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61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89574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7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47"/>
    <w:rPr>
      <w:rFonts w:ascii="Segoe UI" w:hAnsi="Segoe UI" w:cs="Segoe UI"/>
      <w:sz w:val="18"/>
      <w:szCs w:val="18"/>
    </w:rPr>
  </w:style>
  <w:style w:type="paragraph" w:customStyle="1" w:styleId="N-p2">
    <w:name w:val="N - p2"/>
    <w:basedOn w:val="Normalny"/>
    <w:link w:val="N-p2Znak"/>
    <w:qFormat/>
    <w:rsid w:val="00895747"/>
    <w:pPr>
      <w:ind w:left="992"/>
    </w:pPr>
  </w:style>
  <w:style w:type="paragraph" w:customStyle="1" w:styleId="N-p1">
    <w:name w:val="N - p1"/>
    <w:basedOn w:val="N-p2"/>
    <w:link w:val="N-p1Znak"/>
    <w:qFormat/>
    <w:rsid w:val="00D61C22"/>
    <w:pPr>
      <w:ind w:left="425"/>
    </w:pPr>
  </w:style>
  <w:style w:type="character" w:customStyle="1" w:styleId="N-p2Znak">
    <w:name w:val="N - p2 Znak"/>
    <w:basedOn w:val="Domylnaczcionkaakapitu"/>
    <w:link w:val="N-p2"/>
    <w:rsid w:val="00895747"/>
  </w:style>
  <w:style w:type="paragraph" w:customStyle="1" w:styleId="P-p1">
    <w:name w:val="P - p1"/>
    <w:basedOn w:val="Akapitzlist"/>
    <w:link w:val="P-p1Znak"/>
    <w:autoRedefine/>
    <w:qFormat/>
    <w:rsid w:val="00D61C22"/>
    <w:pPr>
      <w:numPr>
        <w:numId w:val="11"/>
      </w:numPr>
    </w:pPr>
  </w:style>
  <w:style w:type="character" w:customStyle="1" w:styleId="N-p1Znak">
    <w:name w:val="N - p1 Znak"/>
    <w:basedOn w:val="N-p2Znak"/>
    <w:link w:val="N-p1"/>
    <w:rsid w:val="00D61C22"/>
  </w:style>
  <w:style w:type="paragraph" w:customStyle="1" w:styleId="P-p2">
    <w:name w:val="P - p2"/>
    <w:basedOn w:val="Akapitzlist"/>
    <w:link w:val="P-p2Znak"/>
    <w:autoRedefine/>
    <w:qFormat/>
    <w:rsid w:val="008A75EC"/>
    <w:pPr>
      <w:numPr>
        <w:numId w:val="14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61C22"/>
  </w:style>
  <w:style w:type="character" w:customStyle="1" w:styleId="P-p1Znak">
    <w:name w:val="P - p1 Znak"/>
    <w:basedOn w:val="AkapitzlistZnak"/>
    <w:link w:val="P-p1"/>
    <w:rsid w:val="00D61C22"/>
  </w:style>
  <w:style w:type="paragraph" w:styleId="Nagwekspisutreci">
    <w:name w:val="TOC Heading"/>
    <w:basedOn w:val="Nagwek1"/>
    <w:next w:val="Normalny"/>
    <w:uiPriority w:val="39"/>
    <w:unhideWhenUsed/>
    <w:qFormat/>
    <w:rsid w:val="00535D68"/>
    <w:pPr>
      <w:numPr>
        <w:numId w:val="0"/>
      </w:numPr>
      <w:jc w:val="left"/>
      <w:outlineLvl w:val="9"/>
    </w:pPr>
    <w:rPr>
      <w:lang w:eastAsia="pl-PL"/>
    </w:rPr>
  </w:style>
  <w:style w:type="character" w:customStyle="1" w:styleId="P-p2Znak">
    <w:name w:val="P - p2 Znak"/>
    <w:basedOn w:val="AkapitzlistZnak"/>
    <w:link w:val="P-p2"/>
    <w:rsid w:val="008A75EC"/>
  </w:style>
  <w:style w:type="paragraph" w:styleId="Spistreci1">
    <w:name w:val="toc 1"/>
    <w:basedOn w:val="Normalny"/>
    <w:next w:val="Normalny"/>
    <w:autoRedefine/>
    <w:uiPriority w:val="39"/>
    <w:unhideWhenUsed/>
    <w:rsid w:val="00535D6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35D68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535D6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2A3"/>
  </w:style>
  <w:style w:type="paragraph" w:styleId="Stopka">
    <w:name w:val="footer"/>
    <w:basedOn w:val="Normalny"/>
    <w:link w:val="StopkaZnak"/>
    <w:uiPriority w:val="99"/>
    <w:unhideWhenUsed/>
    <w:rsid w:val="00B8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BD3000EB50947AF68605494FE3E94" ma:contentTypeVersion="3" ma:contentTypeDescription="Utwórz nowy dokument." ma:contentTypeScope="" ma:versionID="bec2cc6503f2105d2d0f0fe6606f00e3">
  <xsd:schema xmlns:xsd="http://www.w3.org/2001/XMLSchema" xmlns:xs="http://www.w3.org/2001/XMLSchema" xmlns:p="http://schemas.microsoft.com/office/2006/metadata/properties" xmlns:ns2="69ce5cb2-7b9e-4529-a670-b3e942dcde4d" targetNamespace="http://schemas.microsoft.com/office/2006/metadata/properties" ma:root="true" ma:fieldsID="761a804c2c966c67b6329909facadd6e" ns2:_="">
    <xsd:import namespace="69ce5cb2-7b9e-4529-a670-b3e942dcd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5cb2-7b9e-4529-a670-b3e942dc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523D-E519-43ED-AB83-C6B7AFD4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e5cb2-7b9e-4529-a670-b3e942dcd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40E3-DF9E-4DD0-AF6E-42D04250957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9ce5cb2-7b9e-4529-a670-b3e942dcde4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EDAD5F-8BD2-4111-9565-15489FE6E9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93029-667D-4B75-A931-3DAE344E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2407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Furgacz</dc:creator>
  <cp:keywords/>
  <dc:description/>
  <cp:lastModifiedBy>Piotr Cichoń</cp:lastModifiedBy>
  <cp:revision>7</cp:revision>
  <dcterms:created xsi:type="dcterms:W3CDTF">2026-05-19T13:18:00Z</dcterms:created>
  <dcterms:modified xsi:type="dcterms:W3CDTF">2026-05-19T13:40:00Z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0x010100926BD3000EB50947AF68605494FE3E94</vt:lpwstr>
  </property>
</Properties>
</file>